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300" w:lineRule="auto"/>
        <w:jc w:val="center"/>
        <w:rPr>
          <w:rFonts w:ascii="黑体" w:hAnsi="黑体" w:eastAsia="黑体" w:cs="Arial"/>
          <w:kern w:val="0"/>
          <w:sz w:val="32"/>
          <w:szCs w:val="32"/>
        </w:rPr>
      </w:pPr>
      <w:r>
        <w:rPr>
          <w:rFonts w:hint="eastAsia" w:ascii="黑体" w:hAnsi="黑体" w:eastAsia="黑体" w:cs="Arial"/>
          <w:b/>
          <w:bCs/>
          <w:kern w:val="0"/>
          <w:sz w:val="32"/>
          <w:szCs w:val="32"/>
        </w:rPr>
        <w:t>浙江台谊消防</w:t>
      </w:r>
      <w:r>
        <w:rPr>
          <w:rFonts w:hint="eastAsia" w:ascii="黑体" w:hAnsi="黑体" w:eastAsia="黑体" w:cs="Arial"/>
          <w:b/>
          <w:bCs/>
          <w:kern w:val="0"/>
          <w:sz w:val="32"/>
          <w:szCs w:val="32"/>
          <w:lang w:val="en-US" w:eastAsia="zh-CN"/>
        </w:rPr>
        <w:t>股份</w:t>
      </w:r>
      <w:r>
        <w:rPr>
          <w:rFonts w:hint="eastAsia" w:ascii="黑体" w:hAnsi="黑体" w:eastAsia="黑体" w:cs="Arial"/>
          <w:b/>
          <w:bCs/>
          <w:kern w:val="0"/>
          <w:sz w:val="32"/>
          <w:szCs w:val="32"/>
        </w:rPr>
        <w:t>有限公司</w:t>
      </w:r>
    </w:p>
    <w:p>
      <w:pPr>
        <w:widowControl/>
        <w:shd w:val="clear" w:color="auto" w:fill="FFFFFF"/>
        <w:spacing w:line="300" w:lineRule="auto"/>
        <w:jc w:val="center"/>
        <w:rPr>
          <w:rFonts w:ascii="黑体" w:hAnsi="黑体" w:eastAsia="黑体" w:cs="Arial"/>
          <w:b/>
          <w:bCs/>
          <w:kern w:val="0"/>
          <w:sz w:val="72"/>
          <w:szCs w:val="72"/>
        </w:rPr>
      </w:pPr>
    </w:p>
    <w:p>
      <w:pPr>
        <w:widowControl/>
        <w:shd w:val="clear" w:color="auto" w:fill="FFFFFF"/>
        <w:spacing w:line="300" w:lineRule="auto"/>
        <w:jc w:val="center"/>
        <w:rPr>
          <w:rFonts w:ascii="黑体" w:hAnsi="黑体" w:eastAsia="黑体" w:cs="Arial"/>
          <w:b/>
          <w:bCs/>
          <w:kern w:val="0"/>
          <w:sz w:val="72"/>
          <w:szCs w:val="72"/>
        </w:rPr>
      </w:pPr>
    </w:p>
    <w:p>
      <w:pPr>
        <w:widowControl/>
        <w:shd w:val="clear" w:color="auto" w:fill="FFFFFF"/>
        <w:spacing w:line="300" w:lineRule="auto"/>
        <w:jc w:val="center"/>
        <w:rPr>
          <w:rFonts w:ascii="黑体" w:hAnsi="黑体" w:eastAsia="黑体" w:cs="Arial"/>
          <w:b/>
          <w:bCs/>
          <w:kern w:val="0"/>
          <w:sz w:val="72"/>
          <w:szCs w:val="72"/>
        </w:rPr>
      </w:pPr>
    </w:p>
    <w:p>
      <w:pPr>
        <w:widowControl/>
        <w:shd w:val="clear" w:color="auto" w:fill="FFFFFF"/>
        <w:spacing w:line="300" w:lineRule="auto"/>
        <w:jc w:val="center"/>
        <w:rPr>
          <w:rFonts w:ascii="黑体" w:hAnsi="黑体" w:eastAsia="黑体" w:cs="Arial"/>
          <w:b/>
          <w:bCs/>
          <w:kern w:val="0"/>
          <w:sz w:val="72"/>
          <w:szCs w:val="72"/>
        </w:rPr>
      </w:pPr>
      <w:r>
        <w:rPr>
          <w:rFonts w:hint="eastAsia" w:ascii="黑体" w:hAnsi="黑体" w:eastAsia="黑体" w:cs="Arial"/>
          <w:b/>
          <w:bCs/>
          <w:kern w:val="0"/>
          <w:sz w:val="72"/>
          <w:szCs w:val="72"/>
        </w:rPr>
        <w:t>社</w:t>
      </w:r>
    </w:p>
    <w:p>
      <w:pPr>
        <w:widowControl/>
        <w:shd w:val="clear" w:color="auto" w:fill="FFFFFF"/>
        <w:spacing w:line="300" w:lineRule="auto"/>
        <w:jc w:val="center"/>
        <w:rPr>
          <w:rFonts w:ascii="黑体" w:hAnsi="黑体" w:eastAsia="黑体" w:cs="Arial"/>
          <w:b/>
          <w:bCs/>
          <w:kern w:val="0"/>
          <w:sz w:val="72"/>
          <w:szCs w:val="72"/>
        </w:rPr>
      </w:pPr>
      <w:r>
        <w:rPr>
          <w:rFonts w:hint="eastAsia" w:ascii="黑体" w:hAnsi="黑体" w:eastAsia="黑体" w:cs="Arial"/>
          <w:b/>
          <w:bCs/>
          <w:kern w:val="0"/>
          <w:sz w:val="72"/>
          <w:szCs w:val="72"/>
        </w:rPr>
        <w:t>会</w:t>
      </w:r>
    </w:p>
    <w:p>
      <w:pPr>
        <w:widowControl/>
        <w:shd w:val="clear" w:color="auto" w:fill="FFFFFF"/>
        <w:spacing w:line="300" w:lineRule="auto"/>
        <w:jc w:val="center"/>
        <w:rPr>
          <w:rFonts w:ascii="黑体" w:hAnsi="黑体" w:eastAsia="黑体" w:cs="Arial"/>
          <w:b/>
          <w:bCs/>
          <w:kern w:val="0"/>
          <w:sz w:val="72"/>
          <w:szCs w:val="72"/>
        </w:rPr>
      </w:pPr>
      <w:r>
        <w:rPr>
          <w:rFonts w:hint="eastAsia" w:ascii="黑体" w:hAnsi="黑体" w:eastAsia="黑体" w:cs="Arial"/>
          <w:b/>
          <w:bCs/>
          <w:kern w:val="0"/>
          <w:sz w:val="72"/>
          <w:szCs w:val="72"/>
        </w:rPr>
        <w:t>责</w:t>
      </w:r>
    </w:p>
    <w:p>
      <w:pPr>
        <w:widowControl/>
        <w:shd w:val="clear" w:color="auto" w:fill="FFFFFF"/>
        <w:spacing w:line="300" w:lineRule="auto"/>
        <w:jc w:val="center"/>
        <w:rPr>
          <w:rFonts w:ascii="黑体" w:hAnsi="黑体" w:eastAsia="黑体" w:cs="Arial"/>
          <w:b/>
          <w:bCs/>
          <w:kern w:val="0"/>
          <w:sz w:val="72"/>
          <w:szCs w:val="72"/>
        </w:rPr>
      </w:pPr>
      <w:r>
        <w:rPr>
          <w:rFonts w:hint="eastAsia" w:ascii="黑体" w:hAnsi="黑体" w:eastAsia="黑体" w:cs="Arial"/>
          <w:b/>
          <w:bCs/>
          <w:kern w:val="0"/>
          <w:sz w:val="72"/>
          <w:szCs w:val="72"/>
        </w:rPr>
        <w:t>任</w:t>
      </w:r>
    </w:p>
    <w:p>
      <w:pPr>
        <w:widowControl/>
        <w:shd w:val="clear" w:color="auto" w:fill="FFFFFF"/>
        <w:spacing w:line="300" w:lineRule="auto"/>
        <w:jc w:val="center"/>
        <w:rPr>
          <w:rFonts w:ascii="黑体" w:hAnsi="黑体" w:eastAsia="黑体" w:cs="Arial"/>
          <w:b/>
          <w:bCs/>
          <w:kern w:val="0"/>
          <w:sz w:val="72"/>
          <w:szCs w:val="72"/>
        </w:rPr>
      </w:pPr>
      <w:r>
        <w:rPr>
          <w:rFonts w:hint="eastAsia" w:ascii="黑体" w:hAnsi="黑体" w:eastAsia="黑体" w:cs="Arial"/>
          <w:b/>
          <w:bCs/>
          <w:kern w:val="0"/>
          <w:sz w:val="72"/>
          <w:szCs w:val="72"/>
        </w:rPr>
        <w:t>报</w:t>
      </w:r>
    </w:p>
    <w:p>
      <w:pPr>
        <w:widowControl/>
        <w:shd w:val="clear" w:color="auto" w:fill="FFFFFF"/>
        <w:spacing w:line="300" w:lineRule="auto"/>
        <w:jc w:val="center"/>
        <w:rPr>
          <w:rFonts w:ascii="黑体" w:hAnsi="黑体" w:eastAsia="黑体" w:cs="Arial"/>
          <w:b/>
          <w:bCs/>
          <w:kern w:val="0"/>
          <w:sz w:val="72"/>
          <w:szCs w:val="72"/>
        </w:rPr>
      </w:pPr>
      <w:r>
        <w:rPr>
          <w:rFonts w:hint="eastAsia" w:ascii="黑体" w:hAnsi="黑体" w:eastAsia="黑体" w:cs="Arial"/>
          <w:b/>
          <w:bCs/>
          <w:kern w:val="0"/>
          <w:sz w:val="72"/>
          <w:szCs w:val="72"/>
        </w:rPr>
        <w:t>告</w:t>
      </w:r>
    </w:p>
    <w:p>
      <w:pPr>
        <w:widowControl/>
        <w:shd w:val="clear" w:color="auto" w:fill="FFFFFF"/>
        <w:spacing w:line="300" w:lineRule="auto"/>
        <w:jc w:val="center"/>
        <w:rPr>
          <w:rFonts w:cs="宋体" w:asciiTheme="majorEastAsia" w:hAnsiTheme="majorEastAsia" w:eastAsiaTheme="majorEastAsia"/>
          <w:b/>
          <w:sz w:val="72"/>
          <w:szCs w:val="72"/>
        </w:rPr>
      </w:pPr>
      <w:r>
        <w:rPr>
          <w:rFonts w:cs="宋体" w:asciiTheme="majorEastAsia" w:hAnsiTheme="majorEastAsia" w:eastAsiaTheme="majorEastAsia"/>
          <w:b/>
          <w:sz w:val="72"/>
          <w:szCs w:val="72"/>
        </w:rPr>
        <w:t xml:space="preserve"> </w:t>
      </w:r>
    </w:p>
    <w:p>
      <w:pPr>
        <w:spacing w:line="276" w:lineRule="auto"/>
        <w:ind w:firstLine="5400" w:firstLineChars="750"/>
        <w:rPr>
          <w:rFonts w:ascii="宋体" w:hAnsi="宋体" w:eastAsia="宋体" w:cs="宋体"/>
          <w:sz w:val="72"/>
          <w:szCs w:val="72"/>
        </w:rPr>
      </w:pPr>
    </w:p>
    <w:p>
      <w:pPr>
        <w:spacing w:line="276" w:lineRule="auto"/>
        <w:ind w:firstLine="5400" w:firstLineChars="750"/>
        <w:rPr>
          <w:rFonts w:ascii="宋体" w:hAnsi="宋体" w:eastAsia="宋体" w:cs="宋体"/>
          <w:sz w:val="72"/>
          <w:szCs w:val="72"/>
        </w:rPr>
      </w:pPr>
    </w:p>
    <w:p>
      <w:pPr>
        <w:spacing w:line="276" w:lineRule="auto"/>
        <w:ind w:firstLine="5400" w:firstLineChars="750"/>
        <w:rPr>
          <w:rFonts w:ascii="宋体" w:hAnsi="宋体" w:eastAsia="宋体" w:cs="宋体"/>
          <w:sz w:val="72"/>
          <w:szCs w:val="72"/>
        </w:rPr>
      </w:pPr>
    </w:p>
    <w:p>
      <w:pPr>
        <w:spacing w:before="40" w:after="40" w:line="276" w:lineRule="auto"/>
        <w:jc w:val="center"/>
        <w:rPr>
          <w:rFonts w:ascii="宋体" w:hAnsi="宋体" w:eastAsia="宋体" w:cs="宋体"/>
          <w:sz w:val="32"/>
          <w:szCs w:val="32"/>
        </w:rPr>
      </w:pPr>
      <w:r>
        <w:rPr>
          <w:rFonts w:hint="eastAsia" w:ascii="宋体" w:hAnsi="宋体" w:eastAsia="宋体" w:cs="宋体"/>
          <w:sz w:val="32"/>
          <w:szCs w:val="32"/>
        </w:rPr>
        <w:t>报告日期：</w:t>
      </w:r>
      <w:r>
        <w:rPr>
          <w:rFonts w:hint="eastAsia" w:ascii="宋体" w:hAnsi="宋体" w:eastAsia="宋体" w:cs="宋体"/>
          <w:sz w:val="32"/>
          <w:szCs w:val="32"/>
          <w:lang w:eastAsia="zh-CN"/>
        </w:rPr>
        <w:t>202</w:t>
      </w:r>
      <w:r>
        <w:rPr>
          <w:rFonts w:hint="eastAsia" w:ascii="宋体" w:hAnsi="宋体" w:eastAsia="宋体" w:cs="宋体"/>
          <w:sz w:val="32"/>
          <w:szCs w:val="32"/>
          <w:lang w:val="en-US" w:eastAsia="zh-CN"/>
        </w:rPr>
        <w:t>2</w:t>
      </w:r>
      <w:r>
        <w:rPr>
          <w:rFonts w:hint="eastAsia" w:ascii="宋体" w:hAnsi="宋体" w:eastAsia="宋体" w:cs="宋体"/>
          <w:sz w:val="32"/>
          <w:szCs w:val="32"/>
        </w:rPr>
        <w:t>年</w:t>
      </w:r>
      <w:r>
        <w:rPr>
          <w:rFonts w:hint="eastAsia" w:ascii="宋体" w:hAnsi="宋体" w:eastAsia="宋体" w:cs="宋体"/>
          <w:sz w:val="32"/>
          <w:szCs w:val="32"/>
          <w:lang w:val="en-US" w:eastAsia="zh-CN"/>
        </w:rPr>
        <w:t>10</w:t>
      </w:r>
      <w:r>
        <w:rPr>
          <w:rFonts w:hint="eastAsia" w:ascii="宋体" w:hAnsi="宋体" w:eastAsia="宋体" w:cs="宋体"/>
          <w:sz w:val="32"/>
          <w:szCs w:val="32"/>
        </w:rPr>
        <w:t>月</w:t>
      </w:r>
    </w:p>
    <w:p>
      <w:pPr>
        <w:widowControl/>
        <w:spacing w:line="276" w:lineRule="auto"/>
        <w:jc w:val="center"/>
        <w:rPr>
          <w:rFonts w:ascii="黑体" w:hAnsi="黑体" w:eastAsia="黑体" w:cs="Arial"/>
          <w:b/>
          <w:bCs/>
          <w:kern w:val="0"/>
          <w:sz w:val="52"/>
          <w:szCs w:val="52"/>
        </w:rPr>
      </w:pPr>
      <w:r>
        <w:rPr>
          <w:rFonts w:ascii="宋体" w:hAnsi="宋体" w:eastAsia="宋体" w:cs="宋体"/>
          <w:sz w:val="24"/>
          <w:szCs w:val="24"/>
        </w:rPr>
        <w:br w:type="page"/>
      </w:r>
      <w:r>
        <w:rPr>
          <w:rFonts w:hint="eastAsia" w:ascii="黑体" w:hAnsi="黑体" w:eastAsia="黑体" w:cs="Arial"/>
          <w:b/>
          <w:bCs/>
          <w:kern w:val="0"/>
          <w:sz w:val="52"/>
          <w:szCs w:val="52"/>
        </w:rPr>
        <w:t>社会责任报告</w:t>
      </w:r>
    </w:p>
    <w:p>
      <w:pPr>
        <w:pStyle w:val="53"/>
        <w:numPr>
          <w:ilvl w:val="0"/>
          <w:numId w:val="2"/>
        </w:numPr>
        <w:spacing w:beforeLines="50" w:afterLines="50" w:line="360" w:lineRule="auto"/>
        <w:ind w:firstLineChars="0"/>
        <w:outlineLvl w:val="0"/>
        <w:rPr>
          <w:rFonts w:asciiTheme="majorEastAsia" w:hAnsiTheme="majorEastAsia" w:eastAsiaTheme="majorEastAsia"/>
          <w:b/>
          <w:sz w:val="24"/>
          <w:szCs w:val="24"/>
        </w:rPr>
      </w:pPr>
      <w:bookmarkStart w:id="0" w:name="_Toc451610984"/>
      <w:bookmarkStart w:id="1" w:name="_Toc451610891"/>
      <w:r>
        <w:rPr>
          <w:rFonts w:hint="eastAsia" w:asciiTheme="majorEastAsia" w:hAnsiTheme="majorEastAsia" w:eastAsiaTheme="majorEastAsia"/>
          <w:b/>
          <w:sz w:val="24"/>
          <w:szCs w:val="24"/>
        </w:rPr>
        <w:t>公司</w:t>
      </w:r>
      <w:r>
        <w:rPr>
          <w:rFonts w:asciiTheme="majorEastAsia" w:hAnsiTheme="majorEastAsia" w:eastAsiaTheme="majorEastAsia"/>
          <w:b/>
          <w:sz w:val="24"/>
          <w:szCs w:val="24"/>
        </w:rPr>
        <w:t>简介</w:t>
      </w:r>
    </w:p>
    <w:p>
      <w:pPr>
        <w:pStyle w:val="96"/>
        <w:spacing w:line="360" w:lineRule="auto"/>
        <w:ind w:firstLine="480" w:firstLineChars="200"/>
        <w:rPr>
          <w:rFonts w:hint="eastAsia" w:ascii="宋体" w:hAnsi="宋体" w:eastAsia="宋体"/>
          <w:color w:val="auto"/>
          <w:sz w:val="24"/>
          <w:szCs w:val="24"/>
          <w:lang w:val="en-US"/>
        </w:rPr>
      </w:pPr>
      <w:r>
        <w:rPr>
          <w:rFonts w:hint="eastAsia" w:ascii="宋体" w:hAnsi="宋体" w:eastAsia="宋体"/>
          <w:color w:val="auto"/>
          <w:sz w:val="24"/>
          <w:szCs w:val="24"/>
          <w:lang w:val="en-US"/>
        </w:rPr>
        <w:drawing>
          <wp:anchor distT="0" distB="0" distL="114300" distR="114300" simplePos="0" relativeHeight="251660288" behindDoc="1" locked="0" layoutInCell="1" allowOverlap="1">
            <wp:simplePos x="0" y="0"/>
            <wp:positionH relativeFrom="column">
              <wp:posOffset>-47625</wp:posOffset>
            </wp:positionH>
            <wp:positionV relativeFrom="paragraph">
              <wp:posOffset>308610</wp:posOffset>
            </wp:positionV>
            <wp:extent cx="4080510" cy="2295525"/>
            <wp:effectExtent l="0" t="0" r="15240" b="9525"/>
            <wp:wrapTight wrapText="bothSides">
              <wp:wrapPolygon>
                <wp:start x="0" y="0"/>
                <wp:lineTo x="0" y="21510"/>
                <wp:lineTo x="21479" y="21510"/>
                <wp:lineTo x="21479" y="0"/>
                <wp:lineTo x="0" y="0"/>
              </wp:wrapPolygon>
            </wp:wrapTight>
            <wp:docPr id="8" name="图片 8" descr="lQDPJxbDwvSBLKPNCMrND6CwadHL4csgYVEDQc1Pk8CJAA_4000_2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lQDPJxbDwvSBLKPNCMrND6CwadHL4csgYVEDQc1Pk8CJAA_4000_2250"/>
                    <pic:cNvPicPr>
                      <a:picLocks noChangeAspect="1"/>
                    </pic:cNvPicPr>
                  </pic:nvPicPr>
                  <pic:blipFill>
                    <a:blip r:embed="rId4"/>
                    <a:stretch>
                      <a:fillRect/>
                    </a:stretch>
                  </pic:blipFill>
                  <pic:spPr>
                    <a:xfrm>
                      <a:off x="0" y="0"/>
                      <a:ext cx="4080510" cy="2295525"/>
                    </a:xfrm>
                    <a:prstGeom prst="rect">
                      <a:avLst/>
                    </a:prstGeom>
                  </pic:spPr>
                </pic:pic>
              </a:graphicData>
            </a:graphic>
          </wp:anchor>
        </w:drawing>
      </w:r>
      <w:r>
        <w:rPr>
          <w:rFonts w:hint="eastAsia" w:ascii="宋体" w:hAnsi="宋体" w:eastAsia="宋体"/>
          <w:color w:val="auto"/>
          <w:sz w:val="24"/>
          <w:szCs w:val="24"/>
          <w:lang w:val="en-US"/>
        </w:rPr>
        <w:t>浙江台谊消防股份有限公司，是国内知名的建筑消防一体化解决商，致力于为现在和未来的建筑提供一流的消防解决方案，让世界更安全一点。公司拥有自主产权工厂占地53亩，标准化厂房3万余方，消防物联网展厅2000余平，在全国多地设立专业服务机构，合作的数千个大中型项目遍及祖国大地，公司生产规模、产品质量、经济效益在全国同行业中名列前茅。</w:t>
      </w:r>
    </w:p>
    <w:p>
      <w:pPr>
        <w:pStyle w:val="96"/>
        <w:spacing w:line="360" w:lineRule="auto"/>
        <w:ind w:firstLine="480" w:firstLineChars="200"/>
        <w:rPr>
          <w:rFonts w:hint="eastAsia" w:ascii="宋体" w:hAnsi="宋体" w:eastAsia="宋体"/>
          <w:color w:val="auto"/>
          <w:sz w:val="24"/>
          <w:szCs w:val="24"/>
          <w:lang w:val="en-US"/>
        </w:rPr>
      </w:pPr>
      <w:r>
        <w:rPr>
          <w:rFonts w:hint="eastAsia" w:ascii="宋体" w:hAnsi="宋体" w:eastAsia="宋体"/>
          <w:color w:val="auto"/>
          <w:sz w:val="24"/>
          <w:szCs w:val="24"/>
          <w:lang w:val="en-US"/>
        </w:rPr>
        <w:t>公司作为国家高新技术企业，先后多次参与起草了多项国家标准，是国家标准GB51309-2018《消防应急照明和疏散指示系统技术标准》和GB17945-2010/202X《消防应急照明和疏散指示系统》的起草参编单位，以及国家标准21D702-8《地铁及城市交通隧道应急照明设计与安装》和19D702-7《应急照明设计与安装》的参编单位。主打产品还获得了“品字标”浙江制造认证以及浙江制造精品认证，</w:t>
      </w:r>
      <w:r>
        <w:rPr>
          <w:rFonts w:hint="eastAsia" w:ascii="宋体" w:hAnsi="宋体" w:eastAsia="宋体" w:cs="微软雅黑"/>
          <w:color w:val="auto"/>
          <w:sz w:val="24"/>
          <w:szCs w:val="24"/>
          <w:lang w:val="en-US"/>
        </w:rPr>
        <w:t>“用于高危行业的智能型消防应急照明及安全疏散装置”被评为嘉兴市装备制造业重点领域首台套；是浙江省“专精特新”中小企业、国家级“专精特新”小巨人、省级高新技术企业研究开发中心、省级台谊智能消防系统企业研究院、省级科技型中小企业、省</w:t>
      </w:r>
      <w:r>
        <w:rPr>
          <w:rFonts w:hint="eastAsia" w:ascii="宋体" w:hAnsi="宋体" w:eastAsia="宋体"/>
          <w:color w:val="auto"/>
          <w:sz w:val="24"/>
          <w:szCs w:val="24"/>
          <w:lang w:val="en-US"/>
        </w:rPr>
        <w:t>级信用管理示范企业、数字化改造先进企业、绿色化改造先进企业；通过了GB/T19001质量管理体系认证、GB/24001环境管理体系认证和ISO45001职业健康安全管理体系认证，两化融合管理体系、能源管理体系及知识产权管理体系</w:t>
      </w:r>
      <w:r>
        <w:rPr>
          <w:rFonts w:hint="eastAsia" w:ascii="宋体" w:hAnsi="宋体" w:eastAsia="宋体"/>
          <w:color w:val="auto"/>
          <w:sz w:val="24"/>
          <w:szCs w:val="24"/>
          <w:lang w:val="en-US" w:eastAsia="zh-CN"/>
        </w:rPr>
        <w:t>、节能技术服务等认证</w:t>
      </w:r>
      <w:r>
        <w:rPr>
          <w:rFonts w:hint="eastAsia" w:ascii="宋体" w:hAnsi="宋体" w:eastAsia="宋体"/>
          <w:color w:val="auto"/>
          <w:sz w:val="24"/>
          <w:szCs w:val="24"/>
          <w:lang w:val="en-US"/>
        </w:rPr>
        <w:t>，是嘉兴市绿色工厂</w:t>
      </w:r>
      <w:r>
        <w:rPr>
          <w:rFonts w:hint="eastAsia" w:ascii="宋体" w:hAnsi="宋体" w:eastAsia="宋体"/>
          <w:color w:val="auto"/>
          <w:sz w:val="24"/>
          <w:szCs w:val="24"/>
          <w:lang w:val="en-US" w:eastAsia="zh-CN"/>
        </w:rPr>
        <w:t>及</w:t>
      </w:r>
      <w:r>
        <w:rPr>
          <w:rFonts w:hint="eastAsia" w:ascii="宋体" w:hAnsi="宋体" w:eastAsia="宋体"/>
          <w:color w:val="auto"/>
          <w:sz w:val="24"/>
          <w:szCs w:val="24"/>
          <w:lang w:val="en-US"/>
        </w:rPr>
        <w:t>国家标准化委员会第六分委的委员单位，中国消防协会AAA级企业、中国市政工程协会“综合管廊建设及地下空间利用专业委员会”常务理事单位、浙江省绿色建筑与建筑工业化行业协会会员单位、浙江省消防协会常务理事单位、浙江省应急产业技术联盟副理事长单位等。</w:t>
      </w:r>
    </w:p>
    <w:p>
      <w:pPr>
        <w:pStyle w:val="96"/>
        <w:spacing w:line="360" w:lineRule="auto"/>
        <w:ind w:firstLine="480" w:firstLineChars="200"/>
        <w:rPr>
          <w:rFonts w:ascii="宋体" w:hAnsi="宋体" w:eastAsia="宋体"/>
          <w:color w:val="auto"/>
          <w:sz w:val="24"/>
          <w:szCs w:val="24"/>
          <w:lang w:val="en-US"/>
        </w:rPr>
      </w:pPr>
      <w:r>
        <w:rPr>
          <w:rFonts w:hint="eastAsia" w:ascii="宋体" w:hAnsi="宋体" w:eastAsia="宋体" w:cs="微软雅黑"/>
          <w:color w:val="auto"/>
          <w:sz w:val="24"/>
          <w:szCs w:val="24"/>
        </w:rPr>
        <w:t>“台谊科技园”坐落于海宁市长安镇高新区，南毗邻钱塘江，西接壤杭州钱塘新区，</w:t>
      </w:r>
      <w:r>
        <w:rPr>
          <w:rFonts w:ascii="宋体" w:hAnsi="宋体" w:eastAsia="宋体"/>
          <w:color w:val="auto"/>
          <w:sz w:val="24"/>
          <w:szCs w:val="24"/>
          <w:lang w:val="en-US"/>
        </w:rPr>
        <w:t>占地53亩</w:t>
      </w:r>
      <w:r>
        <w:rPr>
          <w:rFonts w:hint="eastAsia" w:ascii="宋体" w:hAnsi="宋体" w:eastAsia="宋体"/>
          <w:color w:val="auto"/>
          <w:sz w:val="24"/>
          <w:szCs w:val="24"/>
          <w:lang w:val="en-US"/>
        </w:rPr>
        <w:t>，拥有现代化</w:t>
      </w:r>
      <w:r>
        <w:rPr>
          <w:rFonts w:ascii="宋体" w:hAnsi="宋体" w:eastAsia="宋体"/>
          <w:color w:val="auto"/>
          <w:sz w:val="24"/>
          <w:szCs w:val="24"/>
          <w:lang w:val="en-US"/>
        </w:rPr>
        <w:t>标准化厂房</w:t>
      </w:r>
      <w:r>
        <w:rPr>
          <w:rFonts w:hint="eastAsia" w:ascii="宋体" w:hAnsi="宋体" w:eastAsia="宋体"/>
          <w:color w:val="auto"/>
          <w:sz w:val="24"/>
          <w:szCs w:val="24"/>
          <w:lang w:val="en-US"/>
        </w:rPr>
        <w:t>五万余平方米</w:t>
      </w:r>
      <w:r>
        <w:rPr>
          <w:rFonts w:ascii="宋体" w:hAnsi="宋体" w:eastAsia="宋体"/>
          <w:color w:val="auto"/>
          <w:sz w:val="24"/>
          <w:szCs w:val="24"/>
          <w:lang w:val="en-US"/>
        </w:rPr>
        <w:t>，</w:t>
      </w:r>
      <w:r>
        <w:rPr>
          <w:rFonts w:hint="eastAsia" w:ascii="宋体" w:hAnsi="宋体" w:eastAsia="宋体"/>
          <w:color w:val="auto"/>
          <w:sz w:val="24"/>
          <w:szCs w:val="24"/>
          <w:lang w:val="en-US"/>
        </w:rPr>
        <w:t>消防</w:t>
      </w:r>
      <w:r>
        <w:rPr>
          <w:rFonts w:hint="eastAsia" w:ascii="宋体" w:hAnsi="宋体" w:eastAsia="宋体"/>
          <w:color w:val="auto"/>
          <w:sz w:val="24"/>
          <w:szCs w:val="24"/>
          <w:lang w:val="en-US" w:eastAsia="zh-CN"/>
        </w:rPr>
        <w:t>科普教育基地</w:t>
      </w:r>
      <w:r>
        <w:rPr>
          <w:rFonts w:hint="eastAsia" w:ascii="宋体" w:hAnsi="宋体" w:eastAsia="宋体"/>
          <w:color w:val="auto"/>
          <w:sz w:val="24"/>
          <w:szCs w:val="24"/>
          <w:lang w:val="en-US"/>
        </w:rPr>
        <w:t>2</w:t>
      </w:r>
      <w:r>
        <w:rPr>
          <w:rFonts w:ascii="宋体" w:hAnsi="宋体" w:eastAsia="宋体"/>
          <w:color w:val="auto"/>
          <w:sz w:val="24"/>
          <w:szCs w:val="24"/>
          <w:lang w:val="en-US"/>
        </w:rPr>
        <w:t>000</w:t>
      </w:r>
      <w:r>
        <w:rPr>
          <w:rFonts w:hint="eastAsia" w:ascii="宋体" w:hAnsi="宋体" w:eastAsia="宋体"/>
          <w:color w:val="auto"/>
          <w:sz w:val="24"/>
          <w:szCs w:val="24"/>
          <w:lang w:val="en-US"/>
        </w:rPr>
        <w:t>余平方米，团队已达</w:t>
      </w:r>
      <w:r>
        <w:rPr>
          <w:rFonts w:hint="eastAsia" w:ascii="宋体" w:hAnsi="宋体" w:eastAsia="宋体"/>
          <w:color w:val="auto"/>
          <w:sz w:val="24"/>
          <w:szCs w:val="24"/>
          <w:lang w:val="en-US" w:eastAsia="zh-CN"/>
        </w:rPr>
        <w:t>3</w:t>
      </w:r>
      <w:r>
        <w:rPr>
          <w:rFonts w:ascii="宋体" w:hAnsi="宋体" w:eastAsia="宋体"/>
          <w:color w:val="auto"/>
          <w:sz w:val="24"/>
          <w:szCs w:val="24"/>
          <w:lang w:val="en-US"/>
        </w:rPr>
        <w:t>00</w:t>
      </w:r>
      <w:r>
        <w:rPr>
          <w:rFonts w:hint="eastAsia" w:ascii="宋体" w:hAnsi="宋体" w:eastAsia="宋体"/>
          <w:color w:val="auto"/>
          <w:sz w:val="24"/>
          <w:szCs w:val="24"/>
          <w:lang w:val="en-US"/>
        </w:rPr>
        <w:t>余</w:t>
      </w:r>
      <w:r>
        <w:rPr>
          <w:rFonts w:ascii="宋体" w:hAnsi="宋体" w:eastAsia="宋体"/>
          <w:color w:val="auto"/>
          <w:sz w:val="24"/>
          <w:szCs w:val="24"/>
          <w:lang w:val="en-US"/>
        </w:rPr>
        <w:t>人，研发生产力量雄厚。公司生产工艺装备精良，在国内消防行业内率先引进了大型智能数控激光切割机、全自动线路板贴片</w:t>
      </w:r>
      <w:r>
        <w:rPr>
          <w:rFonts w:hint="eastAsia" w:ascii="宋体" w:hAnsi="宋体" w:eastAsia="宋体"/>
          <w:color w:val="auto"/>
          <w:sz w:val="24"/>
          <w:szCs w:val="24"/>
          <w:lang w:val="en-US"/>
        </w:rPr>
        <w:t>（SMT）</w:t>
      </w:r>
      <w:r>
        <w:rPr>
          <w:rFonts w:ascii="宋体" w:hAnsi="宋体" w:eastAsia="宋体"/>
          <w:color w:val="auto"/>
          <w:sz w:val="24"/>
          <w:szCs w:val="24"/>
          <w:lang w:val="en-US"/>
        </w:rPr>
        <w:t>生产线、</w:t>
      </w:r>
      <w:r>
        <w:rPr>
          <w:rFonts w:hint="eastAsia" w:ascii="宋体" w:hAnsi="宋体" w:eastAsia="宋体"/>
          <w:color w:val="auto"/>
          <w:sz w:val="24"/>
          <w:szCs w:val="24"/>
          <w:lang w:val="en-US"/>
        </w:rPr>
        <w:t>多条专业全自动装配生产线，</w:t>
      </w:r>
      <w:r>
        <w:rPr>
          <w:rFonts w:ascii="宋体" w:hAnsi="宋体" w:eastAsia="宋体"/>
          <w:color w:val="auto"/>
          <w:sz w:val="24"/>
          <w:szCs w:val="24"/>
          <w:lang w:val="en-US"/>
        </w:rPr>
        <w:t>配备有</w:t>
      </w:r>
      <w:r>
        <w:rPr>
          <w:rFonts w:hint="eastAsia" w:ascii="宋体" w:hAnsi="宋体" w:eastAsia="宋体"/>
          <w:color w:val="auto"/>
          <w:sz w:val="24"/>
          <w:szCs w:val="24"/>
          <w:lang w:val="en-US"/>
        </w:rPr>
        <w:t>全套电磁兼容试验</w:t>
      </w:r>
      <w:r>
        <w:rPr>
          <w:rFonts w:ascii="宋体" w:hAnsi="宋体" w:eastAsia="宋体"/>
          <w:color w:val="auto"/>
          <w:sz w:val="24"/>
          <w:szCs w:val="24"/>
          <w:lang w:val="en-US"/>
        </w:rPr>
        <w:t>设备</w:t>
      </w:r>
      <w:r>
        <w:rPr>
          <w:rFonts w:hint="eastAsia" w:ascii="宋体" w:hAnsi="宋体" w:eastAsia="宋体"/>
          <w:color w:val="auto"/>
          <w:sz w:val="24"/>
          <w:szCs w:val="24"/>
          <w:lang w:val="en-US"/>
        </w:rPr>
        <w:t>、高精度烟温测试箱、</w:t>
      </w:r>
      <w:r>
        <w:rPr>
          <w:rFonts w:ascii="宋体" w:hAnsi="宋体" w:eastAsia="宋体"/>
          <w:color w:val="auto"/>
          <w:sz w:val="24"/>
          <w:szCs w:val="24"/>
          <w:lang w:val="en-US"/>
        </w:rPr>
        <w:t>步入式恒温恒湿实验室、氧指数测定仪、</w:t>
      </w:r>
      <w:r>
        <w:rPr>
          <w:rFonts w:hint="eastAsia" w:ascii="宋体" w:hAnsi="宋体" w:eastAsia="宋体"/>
          <w:color w:val="auto"/>
          <w:sz w:val="24"/>
          <w:szCs w:val="24"/>
          <w:lang w:val="en-US"/>
        </w:rPr>
        <w:t>热线风速仪</w:t>
      </w:r>
      <w:r>
        <w:rPr>
          <w:rFonts w:ascii="宋体" w:hAnsi="宋体" w:eastAsia="宋体"/>
          <w:color w:val="auto"/>
          <w:sz w:val="24"/>
          <w:szCs w:val="24"/>
          <w:lang w:val="en-US"/>
        </w:rPr>
        <w:t>积分球、智能多</w:t>
      </w:r>
      <w:r>
        <w:rPr>
          <w:rFonts w:hint="eastAsia" w:ascii="宋体" w:hAnsi="宋体" w:eastAsia="宋体"/>
          <w:color w:val="auto"/>
          <w:sz w:val="24"/>
          <w:szCs w:val="24"/>
          <w:lang w:val="en-US"/>
        </w:rPr>
        <w:t>路</w:t>
      </w:r>
      <w:r>
        <w:rPr>
          <w:rFonts w:ascii="宋体" w:hAnsi="宋体" w:eastAsia="宋体"/>
          <w:color w:val="auto"/>
          <w:sz w:val="24"/>
          <w:szCs w:val="24"/>
          <w:lang w:val="en-US"/>
        </w:rPr>
        <w:t>光度计、</w:t>
      </w:r>
      <w:r>
        <w:rPr>
          <w:rFonts w:hint="eastAsia" w:ascii="宋体" w:hAnsi="宋体" w:eastAsia="宋体"/>
          <w:color w:val="auto"/>
          <w:sz w:val="24"/>
          <w:szCs w:val="24"/>
          <w:lang w:val="en-US"/>
        </w:rPr>
        <w:t>光谱分析仪</w:t>
      </w:r>
      <w:r>
        <w:rPr>
          <w:rFonts w:ascii="宋体" w:hAnsi="宋体" w:eastAsia="宋体"/>
          <w:color w:val="auto"/>
          <w:sz w:val="24"/>
          <w:szCs w:val="24"/>
          <w:lang w:val="en-US"/>
        </w:rPr>
        <w:t>以及高精度电</w:t>
      </w:r>
      <w:r>
        <w:rPr>
          <w:rFonts w:hint="eastAsia" w:ascii="宋体" w:hAnsi="宋体" w:eastAsia="宋体"/>
          <w:color w:val="auto"/>
          <w:sz w:val="24"/>
          <w:szCs w:val="24"/>
          <w:lang w:val="en-US" w:eastAsia="zh-CN"/>
        </w:rPr>
        <w:t>池智能</w:t>
      </w:r>
      <w:r>
        <w:rPr>
          <w:rFonts w:ascii="宋体" w:hAnsi="宋体" w:eastAsia="宋体"/>
          <w:color w:val="auto"/>
          <w:sz w:val="24"/>
          <w:szCs w:val="24"/>
          <w:lang w:val="en-US"/>
        </w:rPr>
        <w:t>测试系统等</w:t>
      </w:r>
      <w:r>
        <w:rPr>
          <w:rFonts w:hint="eastAsia" w:ascii="宋体" w:hAnsi="宋体" w:eastAsia="宋体"/>
          <w:color w:val="auto"/>
          <w:sz w:val="24"/>
          <w:szCs w:val="24"/>
          <w:lang w:val="en-US"/>
        </w:rPr>
        <w:t>，检验、检测室是国内消防行业中技术最先进、仪器设备最完善的实验室之一。</w:t>
      </w:r>
    </w:p>
    <w:p>
      <w:pPr>
        <w:pStyle w:val="96"/>
        <w:spacing w:line="360" w:lineRule="auto"/>
        <w:ind w:firstLine="480" w:firstLineChars="200"/>
        <w:rPr>
          <w:rFonts w:hint="eastAsia" w:ascii="宋体" w:hAnsi="宋体" w:eastAsia="宋体"/>
          <w:color w:val="auto"/>
          <w:sz w:val="24"/>
          <w:szCs w:val="24"/>
          <w:lang w:val="en-US" w:eastAsia="zh-CN"/>
        </w:rPr>
      </w:pPr>
      <w:r>
        <w:rPr>
          <w:rFonts w:ascii="宋体" w:hAnsi="宋体" w:eastAsia="宋体"/>
          <w:color w:val="auto"/>
          <w:sz w:val="24"/>
          <w:szCs w:val="24"/>
          <w:lang w:val="en-US"/>
        </w:rPr>
        <w:t>公司秉承“质量第一、客户至上”原则，以“诚信为本”为方针，多年来一直坚持在行业内积极倡导“规范经营”，促进行业的健康、有序发展。</w:t>
      </w:r>
      <w:r>
        <w:rPr>
          <w:rFonts w:hint="eastAsia" w:ascii="宋体" w:hAnsi="宋体" w:eastAsia="宋体"/>
          <w:color w:val="auto"/>
          <w:sz w:val="24"/>
          <w:szCs w:val="24"/>
          <w:lang w:val="en-US" w:eastAsia="zh-CN"/>
        </w:rPr>
        <w:t>自成立以来</w:t>
      </w:r>
      <w:r>
        <w:rPr>
          <w:rFonts w:ascii="宋体" w:hAnsi="宋体" w:eastAsia="宋体"/>
          <w:color w:val="auto"/>
          <w:sz w:val="24"/>
          <w:szCs w:val="24"/>
          <w:lang w:val="en-US"/>
        </w:rPr>
        <w:t>非常重视能源的合理利用与节约工作，坚持开展节能降耗技改，持续推进节能新技术、新工艺、新设备、新材料的积极应用，将节能理念始终贯穿到日常工作中。</w:t>
      </w:r>
      <w:r>
        <w:rPr>
          <w:rFonts w:hint="eastAsia" w:ascii="宋体" w:hAnsi="宋体" w:eastAsia="宋体"/>
          <w:color w:val="auto"/>
          <w:sz w:val="24"/>
          <w:szCs w:val="24"/>
          <w:lang w:val="en-US" w:eastAsia="zh-CN"/>
        </w:rPr>
        <w:t>而能源管理体系认证的顺利通过，标志着公司在节能降耗、绿色减排及能源标准化、规范化管理方面又提升了一个台阶，迈出了坚实的一步。</w:t>
      </w:r>
    </w:p>
    <w:p>
      <w:pPr>
        <w:pStyle w:val="96"/>
        <w:spacing w:line="360" w:lineRule="auto"/>
        <w:ind w:firstLine="480" w:firstLineChars="200"/>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工厂是产品品质的源头，绿色是产品健康的标签，在绿色发展的国际大趋势下，台谊积极投入低碳园区建设，率先通过认证获评省级“绿色工厂”。未来我们将继续践行绿色发展理念，加快探索并实践“质效双升”的先进制造模式，加强信息化、智能化、数字化等先进技术的应用，以高端制造、品质制造、绿色制造引领制造转型升级，进一步提升产业竞争力，支撑国家“碳达峰、碳中和”战略目标。</w:t>
      </w:r>
    </w:p>
    <w:p>
      <w:pPr>
        <w:pStyle w:val="96"/>
        <w:spacing w:line="360" w:lineRule="auto"/>
        <w:ind w:firstLine="480" w:firstLineChars="200"/>
        <w:rPr>
          <w:rFonts w:hint="default" w:ascii="宋体" w:hAnsi="宋体" w:eastAsia="宋体"/>
          <w:color w:val="auto"/>
          <w:sz w:val="24"/>
          <w:szCs w:val="24"/>
          <w:lang w:val="en-US" w:eastAsia="zh-CN"/>
        </w:rPr>
      </w:pPr>
      <w:r>
        <w:rPr>
          <w:rFonts w:hint="eastAsia" w:ascii="宋体" w:hAnsi="宋体" w:eastAsia="宋体"/>
          <w:color w:val="auto"/>
          <w:sz w:val="24"/>
          <w:szCs w:val="24"/>
          <w:lang w:val="en-US" w:eastAsia="zh-CN"/>
        </w:rPr>
        <w:t>随着科技的不断发展，台谊为了在激烈的企业竞争中脱颖而出，始终专注于“智慧消防一体化解决方案”的研发与运用，凭借多年的专业积淀，研发出具有完全自主知识产权的系列产品，其中主导产品已达百余种并且顺利通过知识产权体系认证，截至2022年，发明专利12个，实用新型专利45个，外观专利7个。是国内只能疏散行业最具影响力的品牌之一。</w:t>
      </w:r>
    </w:p>
    <w:p>
      <w:pPr>
        <w:pStyle w:val="96"/>
        <w:spacing w:line="360" w:lineRule="auto"/>
        <w:ind w:firstLine="480" w:firstLineChars="200"/>
        <w:rPr>
          <w:rFonts w:ascii="宋体" w:hAnsi="宋体" w:eastAsia="宋体"/>
          <w:color w:val="auto"/>
          <w:sz w:val="24"/>
          <w:szCs w:val="24"/>
          <w:lang w:val="en-US"/>
        </w:rPr>
      </w:pPr>
      <w:r>
        <w:rPr>
          <w:rFonts w:hint="eastAsia" w:ascii="宋体" w:hAnsi="宋体" w:eastAsia="宋体"/>
          <w:color w:val="auto"/>
          <w:sz w:val="24"/>
          <w:szCs w:val="24"/>
          <w:lang w:val="en-US" w:eastAsia="zh-CN"/>
        </w:rPr>
        <w:t>3</w:t>
      </w:r>
      <w:r>
        <w:rPr>
          <w:rFonts w:ascii="宋体" w:hAnsi="宋体" w:eastAsia="宋体"/>
          <w:color w:val="auto"/>
          <w:sz w:val="24"/>
          <w:szCs w:val="24"/>
          <w:lang w:val="en-US"/>
        </w:rPr>
        <w:t>0余载风雨历程，公司现已发展成为全国为数不多的，集火灾自动报警系统、应急照明疏散指示系统、防火门监控系统、消防设备电源监控系统、电气火灾监控系统、分布式光纤测温系统、可燃气体探测报警系统、消防电气控制装置等八大系列产品的研发生产基地以及消防物联网解决方案商。</w:t>
      </w:r>
    </w:p>
    <w:p>
      <w:pPr>
        <w:pStyle w:val="96"/>
        <w:spacing w:line="360" w:lineRule="auto"/>
        <w:ind w:firstLine="480" w:firstLineChars="200"/>
        <w:rPr>
          <w:rFonts w:hint="eastAsia" w:ascii="宋体" w:hAnsi="宋体" w:eastAsia="宋体"/>
          <w:color w:val="auto"/>
          <w:sz w:val="24"/>
          <w:szCs w:val="24"/>
          <w:lang w:val="en-US"/>
        </w:rPr>
      </w:pPr>
      <w:r>
        <w:rPr>
          <w:rFonts w:hint="eastAsia" w:ascii="宋体" w:hAnsi="宋体" w:eastAsia="宋体"/>
          <w:color w:val="auto"/>
          <w:sz w:val="24"/>
          <w:szCs w:val="24"/>
          <w:lang w:val="en-US"/>
        </w:rPr>
        <w:t>公司</w:t>
      </w:r>
      <w:r>
        <w:rPr>
          <w:rFonts w:ascii="宋体" w:hAnsi="宋体" w:eastAsia="宋体"/>
          <w:color w:val="auto"/>
          <w:sz w:val="24"/>
          <w:szCs w:val="24"/>
          <w:lang w:val="en-US"/>
        </w:rPr>
        <w:t>本着“做专、做精、做强、做大”的经营发展理念，遵循“精心制作,满足消防安全需求；推陈出新,力求超过客户期望”的质量方针。“台谊”品牌在</w:t>
      </w:r>
      <w:r>
        <w:rPr>
          <w:rFonts w:hint="eastAsia" w:ascii="宋体" w:hAnsi="宋体" w:eastAsia="宋体"/>
          <w:color w:val="auto"/>
          <w:sz w:val="24"/>
          <w:szCs w:val="24"/>
          <w:lang w:val="en-US"/>
        </w:rPr>
        <w:t>市场上</w:t>
      </w:r>
      <w:r>
        <w:rPr>
          <w:rFonts w:ascii="宋体" w:hAnsi="宋体" w:eastAsia="宋体"/>
          <w:color w:val="auto"/>
          <w:sz w:val="24"/>
          <w:szCs w:val="24"/>
          <w:lang w:val="en-US"/>
        </w:rPr>
        <w:t>广受好评，</w:t>
      </w:r>
      <w:r>
        <w:rPr>
          <w:rFonts w:hint="eastAsia" w:ascii="宋体" w:hAnsi="宋体" w:eastAsia="宋体"/>
          <w:color w:val="auto"/>
          <w:sz w:val="24"/>
          <w:szCs w:val="24"/>
          <w:lang w:val="en-US"/>
        </w:rPr>
        <w:t>备受青睐，</w:t>
      </w:r>
      <w:r>
        <w:rPr>
          <w:rFonts w:ascii="宋体" w:hAnsi="宋体" w:eastAsia="宋体"/>
          <w:color w:val="auto"/>
          <w:sz w:val="24"/>
          <w:szCs w:val="24"/>
          <w:lang w:val="en-US"/>
        </w:rPr>
        <w:t>市场份额稳步提升，</w:t>
      </w:r>
      <w:r>
        <w:rPr>
          <w:rFonts w:hint="eastAsia" w:ascii="宋体" w:hAnsi="宋体" w:eastAsia="宋体"/>
          <w:color w:val="auto"/>
          <w:sz w:val="24"/>
          <w:szCs w:val="24"/>
          <w:lang w:val="en-US"/>
        </w:rPr>
        <w:t>销量多年一直位居前茅。公司已</w:t>
      </w:r>
      <w:r>
        <w:rPr>
          <w:rFonts w:ascii="宋体" w:hAnsi="宋体" w:eastAsia="宋体"/>
          <w:color w:val="auto"/>
          <w:sz w:val="24"/>
          <w:szCs w:val="24"/>
          <w:lang w:val="en-US"/>
        </w:rPr>
        <w:t>在全国各省市设立了运营服务中心，并依托各地分公司、办事机构的营销服务网络，</w:t>
      </w:r>
      <w:r>
        <w:rPr>
          <w:rFonts w:hint="eastAsia" w:ascii="宋体" w:hAnsi="宋体" w:eastAsia="宋体"/>
          <w:color w:val="auto"/>
          <w:sz w:val="24"/>
          <w:szCs w:val="24"/>
          <w:lang w:val="en-US"/>
        </w:rPr>
        <w:t>能</w:t>
      </w:r>
      <w:r>
        <w:rPr>
          <w:rFonts w:ascii="宋体" w:hAnsi="宋体" w:eastAsia="宋体"/>
          <w:color w:val="auto"/>
          <w:sz w:val="24"/>
          <w:szCs w:val="24"/>
          <w:lang w:val="en-US"/>
        </w:rPr>
        <w:t>为</w:t>
      </w:r>
      <w:r>
        <w:rPr>
          <w:rFonts w:hint="eastAsia" w:ascii="宋体" w:hAnsi="宋体" w:eastAsia="宋体"/>
          <w:color w:val="auto"/>
          <w:sz w:val="24"/>
          <w:szCs w:val="24"/>
          <w:lang w:val="en-US"/>
        </w:rPr>
        <w:t>客户</w:t>
      </w:r>
      <w:r>
        <w:rPr>
          <w:rFonts w:ascii="宋体" w:hAnsi="宋体" w:eastAsia="宋体"/>
          <w:color w:val="auto"/>
          <w:sz w:val="24"/>
          <w:szCs w:val="24"/>
          <w:lang w:val="en-US"/>
        </w:rPr>
        <w:t>提供最迅捷、最优质的服务。</w:t>
      </w:r>
      <w:r>
        <w:rPr>
          <w:rFonts w:hint="eastAsia" w:ascii="宋体" w:hAnsi="宋体" w:eastAsia="宋体"/>
          <w:color w:val="auto"/>
          <w:sz w:val="24"/>
          <w:szCs w:val="24"/>
          <w:lang w:val="en-US"/>
        </w:rPr>
        <w:t>公司先后获得“中国消防行业十佳民族企业”、“嘉兴市名牌产品”、“海宁市名牌产品”、 “浙江省A</w:t>
      </w:r>
      <w:r>
        <w:rPr>
          <w:rFonts w:ascii="宋体" w:hAnsi="宋体" w:eastAsia="宋体"/>
          <w:color w:val="auto"/>
          <w:sz w:val="24"/>
          <w:szCs w:val="24"/>
          <w:lang w:val="en-US"/>
        </w:rPr>
        <w:t>AA</w:t>
      </w:r>
      <w:r>
        <w:rPr>
          <w:rFonts w:hint="eastAsia" w:ascii="宋体" w:hAnsi="宋体" w:eastAsia="宋体"/>
          <w:color w:val="auto"/>
          <w:sz w:val="24"/>
          <w:szCs w:val="24"/>
          <w:lang w:val="en-US"/>
        </w:rPr>
        <w:t>级守合同重信用单位”、  及“浙江省科技型中小企业”、“科技创新十强企业”和“节能降耗工作先进集体”等荣誉。</w:t>
      </w:r>
    </w:p>
    <w:p>
      <w:pPr>
        <w:pStyle w:val="96"/>
        <w:spacing w:line="360" w:lineRule="auto"/>
        <w:ind w:firstLine="480" w:firstLineChars="200"/>
        <w:rPr>
          <w:rFonts w:ascii="宋体" w:hAnsi="宋体" w:eastAsia="宋体"/>
          <w:color w:val="auto"/>
          <w:sz w:val="24"/>
          <w:szCs w:val="24"/>
          <w:lang w:val="en-US"/>
        </w:rPr>
      </w:pPr>
      <w:r>
        <w:rPr>
          <w:rFonts w:ascii="宋体" w:hAnsi="宋体" w:eastAsia="宋体"/>
          <w:color w:val="auto"/>
          <w:sz w:val="24"/>
          <w:szCs w:val="24"/>
          <w:lang w:val="en-US"/>
        </w:rPr>
        <w:t xml:space="preserve"> “登行业巅峰，筑台谊辉煌”是浙江台谊永远的追求，公司将凭借优秀的企业文化、高素质的人才、一流的设备、先进的技术和管理，更充分、更完美地服务社会，创造价值。</w:t>
      </w:r>
    </w:p>
    <w:p>
      <w:pPr>
        <w:spacing w:beforeLines="50" w:afterLines="50"/>
        <w:ind w:firstLine="241" w:firstLineChars="100"/>
        <w:outlineLvl w:val="1"/>
        <w:rPr>
          <w:rFonts w:cs="Times New Roman" w:asciiTheme="majorEastAsia" w:hAnsiTheme="majorEastAsia" w:eastAsiaTheme="majorEastAsia"/>
          <w:b/>
          <w:sz w:val="24"/>
          <w:szCs w:val="24"/>
        </w:rPr>
      </w:pPr>
      <w:r>
        <w:rPr>
          <w:rFonts w:hint="eastAsia" w:cs="Times New Roman" w:asciiTheme="majorEastAsia" w:hAnsiTheme="majorEastAsia" w:eastAsiaTheme="majorEastAsia"/>
          <w:b/>
          <w:sz w:val="24"/>
          <w:szCs w:val="24"/>
        </w:rPr>
        <w:t>二、经济责任</w:t>
      </w:r>
      <w:bookmarkEnd w:id="0"/>
      <w:bookmarkEnd w:id="1"/>
    </w:p>
    <w:p>
      <w:pPr>
        <w:pStyle w:val="53"/>
        <w:spacing w:line="360" w:lineRule="auto"/>
        <w:ind w:left="482" w:firstLine="0" w:firstLineChars="0"/>
        <w:rPr>
          <w:rFonts w:asciiTheme="majorEastAsia" w:hAnsiTheme="majorEastAsia" w:eastAsiaTheme="majorEastAsia"/>
          <w:b/>
          <w:sz w:val="24"/>
          <w:szCs w:val="24"/>
        </w:rPr>
      </w:pPr>
      <w:r>
        <w:rPr>
          <w:rFonts w:hint="eastAsia" w:asciiTheme="majorEastAsia" w:hAnsiTheme="majorEastAsia" w:eastAsiaTheme="majorEastAsia"/>
          <w:b/>
          <w:sz w:val="24"/>
          <w:szCs w:val="24"/>
        </w:rPr>
        <w:t>1、公司的</w:t>
      </w:r>
      <w:r>
        <w:rPr>
          <w:rFonts w:asciiTheme="majorEastAsia" w:hAnsiTheme="majorEastAsia" w:eastAsiaTheme="majorEastAsia"/>
          <w:b/>
          <w:sz w:val="24"/>
          <w:szCs w:val="24"/>
        </w:rPr>
        <w:t>长、中、短期主要战略目标</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为实现</w:t>
      </w:r>
      <w:r>
        <w:rPr>
          <w:rFonts w:hint="eastAsia" w:asciiTheme="minorEastAsia" w:hAnsiTheme="minorEastAsia"/>
          <w:b/>
          <w:sz w:val="24"/>
          <w:szCs w:val="24"/>
        </w:rPr>
        <w:t>“</w:t>
      </w:r>
      <w:r>
        <w:rPr>
          <w:rFonts w:hint="eastAsia" w:asciiTheme="minorEastAsia" w:hAnsiTheme="minorEastAsia"/>
          <w:b/>
          <w:bCs/>
          <w:sz w:val="24"/>
          <w:szCs w:val="24"/>
        </w:rPr>
        <w:t>数百年品牌，创百年企业</w:t>
      </w:r>
      <w:r>
        <w:rPr>
          <w:rFonts w:hint="eastAsia" w:asciiTheme="minorEastAsia" w:hAnsiTheme="minorEastAsia"/>
          <w:b/>
          <w:sz w:val="24"/>
          <w:szCs w:val="24"/>
        </w:rPr>
        <w:t>”</w:t>
      </w:r>
      <w:r>
        <w:rPr>
          <w:rFonts w:hint="eastAsia" w:asciiTheme="minorEastAsia" w:hAnsiTheme="minorEastAsia"/>
          <w:sz w:val="24"/>
          <w:szCs w:val="24"/>
        </w:rPr>
        <w:t>的愿景，公司通过深谋远虑的战略制定、系统全面的战略部署、严格高效的实施控制，成功实施了行业内与众不同的</w:t>
      </w:r>
      <w:r>
        <w:rPr>
          <w:rFonts w:asciiTheme="minorEastAsia" w:hAnsiTheme="minorEastAsia"/>
          <w:sz w:val="24"/>
          <w:szCs w:val="24"/>
        </w:rPr>
        <w:t xml:space="preserve"> </w:t>
      </w:r>
      <w:r>
        <w:rPr>
          <w:rFonts w:hint="eastAsia" w:asciiTheme="minorEastAsia" w:hAnsiTheme="minorEastAsia"/>
          <w:b/>
          <w:sz w:val="24"/>
          <w:szCs w:val="24"/>
        </w:rPr>
        <w:t>“消防整体解决方案专家”</w:t>
      </w:r>
      <w:r>
        <w:rPr>
          <w:rFonts w:hint="eastAsia" w:asciiTheme="minorEastAsia" w:hAnsiTheme="minorEastAsia"/>
          <w:sz w:val="24"/>
          <w:szCs w:val="24"/>
        </w:rPr>
        <w:t>的发展战略，推动企业不断取得跨越式发展。</w:t>
      </w:r>
    </w:p>
    <w:p>
      <w:pPr>
        <w:tabs>
          <w:tab w:val="left" w:pos="3960"/>
        </w:tabs>
        <w:spacing w:line="360" w:lineRule="auto"/>
        <w:jc w:val="center"/>
        <w:rPr>
          <w:rFonts w:asciiTheme="minorEastAsia" w:hAnsiTheme="minorEastAsia"/>
          <w:b/>
          <w:sz w:val="24"/>
          <w:szCs w:val="24"/>
        </w:rPr>
      </w:pPr>
      <w:r>
        <w:rPr>
          <w:rFonts w:hint="eastAsia" w:asciiTheme="minorEastAsia" w:hAnsiTheme="minorEastAsia"/>
          <w:b/>
          <w:sz w:val="24"/>
          <w:szCs w:val="24"/>
        </w:rPr>
        <w:t>公司的战略管理体系</w:t>
      </w:r>
    </w:p>
    <w:p>
      <w:pPr>
        <w:spacing w:line="360" w:lineRule="auto"/>
        <w:jc w:val="center"/>
        <w:rPr>
          <w:rFonts w:asciiTheme="minorEastAsia" w:hAnsiTheme="minorEastAsia"/>
          <w:sz w:val="24"/>
          <w:szCs w:val="24"/>
        </w:rPr>
      </w:pPr>
      <w:r>
        <w:rPr>
          <w:rFonts w:asciiTheme="minorEastAsia" w:hAnsiTheme="minorEastAsia"/>
          <w:sz w:val="24"/>
          <w:szCs w:val="24"/>
        </w:rPr>
        <w:drawing>
          <wp:inline distT="0" distB="0" distL="0" distR="0">
            <wp:extent cx="4523740" cy="2819400"/>
            <wp:effectExtent l="1905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5" cstate="print"/>
                    <a:srcRect/>
                    <a:stretch>
                      <a:fillRect/>
                    </a:stretch>
                  </pic:blipFill>
                  <pic:spPr>
                    <a:xfrm>
                      <a:off x="0" y="0"/>
                      <a:ext cx="4528558" cy="2822387"/>
                    </a:xfrm>
                    <a:prstGeom prst="rect">
                      <a:avLst/>
                    </a:prstGeom>
                    <a:noFill/>
                    <a:ln w="9525">
                      <a:noFill/>
                      <a:miter lim="800000"/>
                      <a:headEnd/>
                      <a:tailEnd/>
                    </a:ln>
                  </pic:spPr>
                </pic:pic>
              </a:graphicData>
            </a:graphic>
          </wp:inline>
        </w:drawing>
      </w:r>
    </w:p>
    <w:p>
      <w:pPr>
        <w:pStyle w:val="53"/>
        <w:spacing w:line="360" w:lineRule="auto"/>
        <w:ind w:left="482" w:firstLine="0" w:firstLineChars="0"/>
        <w:rPr>
          <w:rFonts w:asciiTheme="majorEastAsia" w:hAnsiTheme="majorEastAsia" w:eastAsiaTheme="majorEastAsia"/>
          <w:b/>
          <w:sz w:val="24"/>
          <w:szCs w:val="24"/>
        </w:rPr>
      </w:pPr>
      <w:r>
        <w:rPr>
          <w:rFonts w:hint="eastAsia" w:asciiTheme="majorEastAsia" w:hAnsiTheme="majorEastAsia" w:eastAsiaTheme="majorEastAsia"/>
          <w:b/>
          <w:sz w:val="24"/>
          <w:szCs w:val="24"/>
        </w:rPr>
        <w:t>2、</w:t>
      </w:r>
      <w:r>
        <w:rPr>
          <w:rFonts w:asciiTheme="majorEastAsia" w:hAnsiTheme="majorEastAsia" w:eastAsiaTheme="majorEastAsia"/>
          <w:b/>
          <w:sz w:val="24"/>
          <w:szCs w:val="24"/>
        </w:rPr>
        <w:t>战略发展方向及目标</w:t>
      </w:r>
    </w:p>
    <w:p>
      <w:pPr>
        <w:spacing w:line="360" w:lineRule="auto"/>
        <w:ind w:firstLine="482"/>
        <w:rPr>
          <w:rFonts w:asciiTheme="minorEastAsia" w:hAnsiTheme="minorEastAsia"/>
          <w:bCs/>
          <w:spacing w:val="-8"/>
          <w:sz w:val="24"/>
          <w:szCs w:val="24"/>
        </w:rPr>
      </w:pPr>
      <w:r>
        <w:rPr>
          <w:rFonts w:hint="eastAsia" w:asciiTheme="minorEastAsia" w:hAnsiTheme="minorEastAsia"/>
          <w:b/>
          <w:bCs/>
          <w:sz w:val="24"/>
          <w:szCs w:val="24"/>
        </w:rPr>
        <w:t>2.1 人力资源配置：</w:t>
      </w:r>
      <w:r>
        <w:rPr>
          <w:rFonts w:hint="eastAsia" w:asciiTheme="minorEastAsia" w:hAnsiTheme="minorEastAsia"/>
          <w:bCs/>
          <w:spacing w:val="-8"/>
          <w:sz w:val="24"/>
          <w:szCs w:val="24"/>
        </w:rPr>
        <w:t>公司通过人力资源规划进行人才结构调整、人员素质提升、国际化营销能力提升、管理理念提升工作，以满足公司战略目标的需要。</w:t>
      </w:r>
      <w:r>
        <w:rPr>
          <w:rFonts w:asciiTheme="minorEastAsia" w:hAnsiTheme="minorEastAsia"/>
          <w:bCs/>
          <w:spacing w:val="-8"/>
          <w:sz w:val="24"/>
          <w:szCs w:val="24"/>
        </w:rPr>
        <w:t>2022</w:t>
      </w:r>
      <w:r>
        <w:rPr>
          <w:rFonts w:hint="eastAsia" w:asciiTheme="minorEastAsia" w:hAnsiTheme="minorEastAsia"/>
          <w:bCs/>
          <w:spacing w:val="-8"/>
          <w:sz w:val="24"/>
          <w:szCs w:val="24"/>
        </w:rPr>
        <w:t>年员工总数将达到</w:t>
      </w:r>
      <w:r>
        <w:rPr>
          <w:rFonts w:hint="eastAsia" w:asciiTheme="minorEastAsia" w:hAnsiTheme="minorEastAsia"/>
          <w:bCs/>
          <w:spacing w:val="-8"/>
          <w:sz w:val="24"/>
          <w:szCs w:val="24"/>
          <w:lang w:val="en-US" w:eastAsia="zh-CN"/>
        </w:rPr>
        <w:t>4</w:t>
      </w:r>
      <w:r>
        <w:rPr>
          <w:rFonts w:asciiTheme="minorEastAsia" w:hAnsiTheme="minorEastAsia"/>
          <w:bCs/>
          <w:spacing w:val="-8"/>
          <w:sz w:val="24"/>
          <w:szCs w:val="24"/>
        </w:rPr>
        <w:t>00</w:t>
      </w:r>
      <w:r>
        <w:rPr>
          <w:rFonts w:hint="eastAsia" w:asciiTheme="minorEastAsia" w:hAnsiTheme="minorEastAsia"/>
          <w:bCs/>
          <w:spacing w:val="-8"/>
          <w:sz w:val="24"/>
          <w:szCs w:val="24"/>
        </w:rPr>
        <w:t>人，一线员工占</w:t>
      </w:r>
      <w:r>
        <w:rPr>
          <w:rFonts w:asciiTheme="minorEastAsia" w:hAnsiTheme="minorEastAsia"/>
          <w:bCs/>
          <w:spacing w:val="-8"/>
          <w:sz w:val="24"/>
          <w:szCs w:val="24"/>
        </w:rPr>
        <w:t>75%</w:t>
      </w:r>
      <w:r>
        <w:rPr>
          <w:rFonts w:hint="eastAsia" w:asciiTheme="minorEastAsia" w:hAnsiTheme="minorEastAsia"/>
          <w:bCs/>
          <w:spacing w:val="-8"/>
          <w:sz w:val="24"/>
          <w:szCs w:val="24"/>
        </w:rPr>
        <w:t>，管理人员占</w:t>
      </w:r>
      <w:r>
        <w:rPr>
          <w:rFonts w:asciiTheme="minorEastAsia" w:hAnsiTheme="minorEastAsia"/>
          <w:bCs/>
          <w:spacing w:val="-8"/>
          <w:sz w:val="24"/>
          <w:szCs w:val="24"/>
        </w:rPr>
        <w:t>11%</w:t>
      </w:r>
      <w:r>
        <w:rPr>
          <w:rFonts w:hint="eastAsia" w:asciiTheme="minorEastAsia" w:hAnsiTheme="minorEastAsia"/>
          <w:bCs/>
          <w:spacing w:val="-8"/>
          <w:sz w:val="24"/>
          <w:szCs w:val="24"/>
        </w:rPr>
        <w:t>，技术研发人员占</w:t>
      </w:r>
      <w:r>
        <w:rPr>
          <w:rFonts w:asciiTheme="minorEastAsia" w:hAnsiTheme="minorEastAsia"/>
          <w:bCs/>
          <w:spacing w:val="-8"/>
          <w:sz w:val="24"/>
          <w:szCs w:val="24"/>
        </w:rPr>
        <w:t>1</w:t>
      </w:r>
      <w:r>
        <w:rPr>
          <w:rFonts w:hint="eastAsia" w:asciiTheme="minorEastAsia" w:hAnsiTheme="minorEastAsia"/>
          <w:bCs/>
          <w:spacing w:val="-8"/>
          <w:sz w:val="24"/>
          <w:szCs w:val="24"/>
        </w:rPr>
        <w:t>0</w:t>
      </w:r>
      <w:r>
        <w:rPr>
          <w:rFonts w:asciiTheme="minorEastAsia" w:hAnsiTheme="minorEastAsia"/>
          <w:bCs/>
          <w:spacing w:val="-8"/>
          <w:sz w:val="24"/>
          <w:szCs w:val="24"/>
        </w:rPr>
        <w:t>%</w:t>
      </w:r>
      <w:r>
        <w:rPr>
          <w:rFonts w:hint="eastAsia" w:asciiTheme="minorEastAsia" w:hAnsiTheme="minorEastAsia"/>
          <w:bCs/>
          <w:spacing w:val="-8"/>
          <w:sz w:val="24"/>
          <w:szCs w:val="24"/>
        </w:rPr>
        <w:t>，营销人员占5</w:t>
      </w:r>
      <w:r>
        <w:rPr>
          <w:rFonts w:asciiTheme="minorEastAsia" w:hAnsiTheme="minorEastAsia"/>
          <w:bCs/>
          <w:spacing w:val="-8"/>
          <w:sz w:val="24"/>
          <w:szCs w:val="24"/>
        </w:rPr>
        <w:t>%</w:t>
      </w:r>
      <w:r>
        <w:rPr>
          <w:rFonts w:hint="eastAsia" w:asciiTheme="minorEastAsia" w:hAnsiTheme="minorEastAsia"/>
          <w:bCs/>
          <w:spacing w:val="-8"/>
          <w:sz w:val="24"/>
          <w:szCs w:val="24"/>
        </w:rPr>
        <w:t>，形成多层次高效的人员结构。对管理人员、技术研发人员、营销人员及一线工人进行有针对性的培训，全面提高人员素质；</w:t>
      </w:r>
      <w:r>
        <w:rPr>
          <w:rFonts w:hint="eastAsia" w:asciiTheme="minorEastAsia" w:hAnsiTheme="minorEastAsia"/>
          <w:bCs/>
          <w:spacing w:val="-8"/>
          <w:sz w:val="24"/>
          <w:szCs w:val="24"/>
          <w:lang w:val="en-US" w:eastAsia="zh-CN"/>
        </w:rPr>
        <w:t>在招聘和晋升时，台谊结合岗位要求及人才供需特点确定对应的选拔渠道，招聘渠道包括校园招聘、社会招聘、内部招聘及我市残联组织的残疾人专场招聘会等。</w:t>
      </w:r>
      <w:r>
        <w:rPr>
          <w:rFonts w:hint="eastAsia" w:asciiTheme="minorEastAsia" w:hAnsiTheme="minorEastAsia"/>
          <w:bCs/>
          <w:spacing w:val="-8"/>
          <w:sz w:val="24"/>
          <w:szCs w:val="24"/>
        </w:rPr>
        <w:t>实行外部引进与内部培养相结合的方式培养一批有创造性的优秀人才；建立健全能上能下、竞争上岗、薪酬与贡献挂钩的人员聘任和激励机制。</w:t>
      </w:r>
    </w:p>
    <w:p>
      <w:pPr>
        <w:spacing w:line="360" w:lineRule="auto"/>
        <w:ind w:firstLine="482" w:firstLineChars="200"/>
        <w:rPr>
          <w:rFonts w:asciiTheme="minorEastAsia" w:hAnsiTheme="minorEastAsia"/>
          <w:sz w:val="24"/>
          <w:szCs w:val="24"/>
        </w:rPr>
      </w:pPr>
      <w:r>
        <w:rPr>
          <w:rFonts w:hint="eastAsia" w:asciiTheme="minorEastAsia" w:hAnsiTheme="minorEastAsia"/>
          <w:b/>
          <w:bCs/>
          <w:sz w:val="24"/>
          <w:szCs w:val="24"/>
        </w:rPr>
        <w:t>2.2 财务资源配置：</w:t>
      </w:r>
      <w:r>
        <w:rPr>
          <w:rFonts w:hint="eastAsia" w:asciiTheme="minorEastAsia" w:hAnsiTheme="minorEastAsia"/>
          <w:bCs/>
          <w:sz w:val="24"/>
          <w:szCs w:val="24"/>
        </w:rPr>
        <w:t>通过全面预算工具，对年度业务计划进行全面分析，对未来资金作出相应预算，确保1亿元流动资金。</w:t>
      </w:r>
    </w:p>
    <w:p>
      <w:pPr>
        <w:spacing w:line="360" w:lineRule="auto"/>
        <w:ind w:firstLine="482" w:firstLineChars="200"/>
        <w:rPr>
          <w:rFonts w:asciiTheme="minorEastAsia" w:hAnsiTheme="minorEastAsia"/>
          <w:sz w:val="24"/>
          <w:szCs w:val="24"/>
        </w:rPr>
      </w:pPr>
      <w:r>
        <w:rPr>
          <w:rFonts w:hint="eastAsia" w:asciiTheme="minorEastAsia" w:hAnsiTheme="minorEastAsia"/>
          <w:b/>
          <w:sz w:val="24"/>
          <w:szCs w:val="24"/>
        </w:rPr>
        <w:t>2.3 实物资源配置：</w:t>
      </w:r>
      <w:r>
        <w:rPr>
          <w:rFonts w:hint="eastAsia" w:asciiTheme="minorEastAsia" w:hAnsiTheme="minorEastAsia"/>
          <w:sz w:val="24"/>
          <w:szCs w:val="24"/>
        </w:rPr>
        <w:t>通过技术改造计划、设备投资计划、物资供应计划等具体计划，从基础设施建设、设备管理、物资供应三个层面对公司实物资源进行科学安排和调度。到</w:t>
      </w:r>
      <w:r>
        <w:rPr>
          <w:rFonts w:asciiTheme="minorEastAsia" w:hAnsiTheme="minorEastAsia"/>
          <w:sz w:val="24"/>
          <w:szCs w:val="24"/>
        </w:rPr>
        <w:t>2022</w:t>
      </w:r>
      <w:r>
        <w:rPr>
          <w:rFonts w:hint="eastAsia" w:asciiTheme="minorEastAsia" w:hAnsiTheme="minorEastAsia"/>
          <w:sz w:val="24"/>
          <w:szCs w:val="24"/>
        </w:rPr>
        <w:t>年，生产设备资产总额将达1亿元。</w:t>
      </w:r>
    </w:p>
    <w:p>
      <w:pPr>
        <w:spacing w:line="360" w:lineRule="auto"/>
        <w:ind w:firstLine="602" w:firstLineChars="250"/>
        <w:rPr>
          <w:rFonts w:asciiTheme="minorEastAsia" w:hAnsiTheme="minorEastAsia"/>
          <w:sz w:val="24"/>
          <w:szCs w:val="24"/>
        </w:rPr>
      </w:pPr>
      <w:r>
        <w:rPr>
          <w:rFonts w:hint="eastAsia" w:asciiTheme="majorEastAsia" w:hAnsiTheme="majorEastAsia" w:eastAsiaTheme="majorEastAsia"/>
          <w:b/>
          <w:sz w:val="24"/>
          <w:szCs w:val="24"/>
        </w:rPr>
        <w:t xml:space="preserve">2.4 </w:t>
      </w:r>
      <w:r>
        <w:rPr>
          <w:rFonts w:hint="eastAsia" w:asciiTheme="minorEastAsia" w:hAnsiTheme="minorEastAsia"/>
          <w:b/>
          <w:sz w:val="24"/>
          <w:szCs w:val="24"/>
        </w:rPr>
        <w:t>提高技术创新能力：</w:t>
      </w:r>
      <w:r>
        <w:rPr>
          <w:rFonts w:hint="eastAsia" w:asciiTheme="minorEastAsia" w:hAnsiTheme="minorEastAsia"/>
          <w:sz w:val="24"/>
          <w:szCs w:val="24"/>
        </w:rPr>
        <w:t>围绕公司的品牌战略,台谊十分重视技术进步。</w:t>
      </w:r>
      <w:r>
        <w:rPr>
          <w:rFonts w:hint="eastAsia" w:asciiTheme="minorEastAsia" w:hAnsiTheme="minorEastAsia"/>
          <w:iCs/>
          <w:sz w:val="24"/>
          <w:szCs w:val="24"/>
        </w:rPr>
        <w:t>公司设立企业技术研发中心，聘请高端人才到公司就职，主持公司新产品、新工艺、新材料的研究开发工作。</w:t>
      </w:r>
      <w:r>
        <w:rPr>
          <w:rFonts w:hint="eastAsia" w:cs="Times New Roman" w:asciiTheme="minorEastAsia" w:hAnsiTheme="minorEastAsia"/>
          <w:sz w:val="24"/>
          <w:szCs w:val="24"/>
        </w:rPr>
        <w:t>并</w:t>
      </w:r>
      <w:r>
        <w:rPr>
          <w:rFonts w:hint="eastAsia" w:asciiTheme="minorEastAsia" w:hAnsiTheme="minorEastAsia"/>
          <w:sz w:val="24"/>
          <w:szCs w:val="24"/>
        </w:rPr>
        <w:t>与国内外高等院校和科研机构建立了合作关系,积极引入国内外专业技术人才。近年来，台谊的技术研发团队，围绕产品提高功能性建立了立体开发模型，开展材料、功能、工艺结构的研究，有的专利转化为标准应用于生产,取得良好的经济效应和社会效应。</w:t>
      </w:r>
    </w:p>
    <w:p>
      <w:pPr>
        <w:spacing w:beforeLines="50" w:afterLines="50" w:line="276" w:lineRule="auto"/>
        <w:outlineLvl w:val="0"/>
        <w:rPr>
          <w:rFonts w:hint="eastAsia" w:cs="Times New Roman" w:asciiTheme="majorEastAsia" w:hAnsiTheme="majorEastAsia" w:eastAsiaTheme="majorEastAsia"/>
          <w:b/>
          <w:sz w:val="24"/>
          <w:szCs w:val="24"/>
          <w:lang w:val="en-US" w:eastAsia="zh-CN"/>
        </w:rPr>
      </w:pPr>
      <w:bookmarkStart w:id="2" w:name="_Toc451610895"/>
      <w:bookmarkStart w:id="3" w:name="_Toc451610988"/>
      <w:r>
        <w:rPr>
          <w:rFonts w:hint="eastAsia" w:cs="Times New Roman" w:asciiTheme="majorEastAsia" w:hAnsiTheme="majorEastAsia" w:eastAsiaTheme="majorEastAsia"/>
          <w:b/>
          <w:sz w:val="24"/>
          <w:szCs w:val="24"/>
        </w:rPr>
        <w:t>三、</w:t>
      </w:r>
      <w:r>
        <w:rPr>
          <w:rFonts w:hint="eastAsia" w:cs="Times New Roman" w:asciiTheme="majorEastAsia" w:hAnsiTheme="majorEastAsia" w:eastAsiaTheme="majorEastAsia"/>
          <w:b/>
          <w:sz w:val="24"/>
          <w:szCs w:val="24"/>
          <w:lang w:val="en-US" w:eastAsia="zh-CN"/>
        </w:rPr>
        <w:t>员工</w:t>
      </w:r>
    </w:p>
    <w:p>
      <w:pPr>
        <w:spacing w:beforeLines="50" w:afterLines="50" w:line="276" w:lineRule="auto"/>
        <w:outlineLvl w:val="0"/>
        <w:rPr>
          <w:rFonts w:hint="eastAsia" w:cs="Times New Roman" w:asciiTheme="majorEastAsia" w:hAnsiTheme="majorEastAsia" w:eastAsiaTheme="majorEastAsia"/>
          <w:b/>
          <w:sz w:val="24"/>
          <w:szCs w:val="24"/>
          <w:lang w:val="en-US" w:eastAsia="zh-CN"/>
        </w:rPr>
      </w:pPr>
      <w:r>
        <w:rPr>
          <w:rFonts w:hint="eastAsia" w:asciiTheme="minorEastAsia" w:hAnsiTheme="minorEastAsia"/>
          <w:sz w:val="24"/>
          <w:szCs w:val="24"/>
        </w:rPr>
        <w:t>1、</w:t>
      </w:r>
      <w:r>
        <w:rPr>
          <w:rFonts w:hint="eastAsia" w:cs="Times New Roman" w:asciiTheme="majorEastAsia" w:hAnsiTheme="majorEastAsia" w:eastAsiaTheme="majorEastAsia"/>
          <w:b/>
          <w:sz w:val="24"/>
          <w:szCs w:val="24"/>
          <w:lang w:val="en-US" w:eastAsia="zh-CN"/>
        </w:rPr>
        <w:t>员工发展</w:t>
      </w:r>
    </w:p>
    <w:p>
      <w:pPr>
        <w:spacing w:beforeLines="50" w:afterLines="50" w:line="276" w:lineRule="auto"/>
        <w:ind w:firstLine="480" w:firstLineChars="200"/>
        <w:outlineLvl w:val="0"/>
        <w:rPr>
          <w:rFonts w:hint="eastAsia" w:asciiTheme="minorEastAsia" w:hAnsiTheme="minorEastAsia"/>
          <w:sz w:val="24"/>
          <w:szCs w:val="24"/>
          <w:lang w:val="en-US" w:eastAsia="zh-CN"/>
        </w:rPr>
      </w:pPr>
      <w:r>
        <w:rPr>
          <w:rFonts w:hint="eastAsia" w:asciiTheme="minorEastAsia" w:hAnsiTheme="minorEastAsia"/>
          <w:sz w:val="24"/>
          <w:szCs w:val="24"/>
          <w:lang w:val="en-US" w:eastAsia="zh-CN"/>
        </w:rPr>
        <w:t>公司不仅为具有管理潜质和专业技术能力的人员提供了晋升通道，实施纵向和横向流通。努力把员工配置在合适的岗位上，并提供相应的培训帮助其出色完成工作，并通过各条线的人才盘点，完善梯队人才建设。</w:t>
      </w:r>
    </w:p>
    <w:p>
      <w:pPr>
        <w:spacing w:beforeLines="50" w:afterLines="50" w:line="276" w:lineRule="auto"/>
        <w:ind w:firstLine="723" w:firstLineChars="300"/>
        <w:outlineLvl w:val="0"/>
        <w:rPr>
          <w:rFonts w:hint="eastAsia" w:asciiTheme="minorEastAsia" w:hAnsiTheme="minorEastAsia"/>
          <w:sz w:val="24"/>
          <w:szCs w:val="24"/>
          <w:lang w:val="en-US" w:eastAsia="zh-CN"/>
        </w:rPr>
      </w:pPr>
      <w:r>
        <w:rPr>
          <w:rFonts w:hint="eastAsia" w:ascii="宋体" w:hAnsi="宋体" w:eastAsia="宋体"/>
          <w:b/>
          <w:sz w:val="24"/>
          <w:szCs w:val="24"/>
        </w:rPr>
        <w:t>1.1</w:t>
      </w:r>
      <w:r>
        <w:rPr>
          <w:rFonts w:hint="eastAsia" w:ascii="宋体" w:hAnsi="宋体" w:eastAsia="宋体"/>
          <w:b/>
          <w:sz w:val="24"/>
          <w:szCs w:val="24"/>
          <w:lang w:val="en-US" w:eastAsia="zh-CN"/>
        </w:rPr>
        <w:t>发展通道：</w:t>
      </w:r>
      <w:r>
        <w:rPr>
          <w:rFonts w:hint="eastAsia" w:asciiTheme="minorEastAsia" w:hAnsiTheme="minorEastAsia"/>
          <w:sz w:val="24"/>
          <w:szCs w:val="24"/>
          <w:lang w:val="en-US" w:eastAsia="zh-CN"/>
        </w:rPr>
        <w:t>公司为员工提供广阔的发展通道，从普通员工、技术岗位到管理岗位，给员工清晰的发展通预期，通过人才盘点，澄清需求，给予进阶培训，帮助员工实现更好发展。</w:t>
      </w:r>
    </w:p>
    <w:p>
      <w:pPr>
        <w:spacing w:beforeLines="50" w:afterLines="50" w:line="276" w:lineRule="auto"/>
        <w:ind w:firstLine="723" w:firstLineChars="300"/>
        <w:outlineLvl w:val="0"/>
        <w:rPr>
          <w:rFonts w:hint="eastAsia" w:asciiTheme="minorEastAsia" w:hAnsiTheme="minorEastAsia"/>
          <w:sz w:val="24"/>
          <w:szCs w:val="24"/>
          <w:lang w:val="en-US" w:eastAsia="zh-CN"/>
        </w:rPr>
      </w:pPr>
      <w:r>
        <w:rPr>
          <w:rFonts w:hint="eastAsia" w:ascii="宋体" w:hAnsi="宋体" w:eastAsia="宋体"/>
          <w:b/>
          <w:sz w:val="24"/>
          <w:szCs w:val="24"/>
          <w:lang w:val="en-US" w:eastAsia="zh-CN"/>
        </w:rPr>
        <w:t>1.2员工职业生涯规划，推拉结合的晋升模式：</w:t>
      </w:r>
      <w:r>
        <w:rPr>
          <w:rFonts w:hint="eastAsia" w:asciiTheme="minorEastAsia" w:hAnsiTheme="minorEastAsia"/>
          <w:sz w:val="24"/>
          <w:szCs w:val="24"/>
          <w:lang w:val="en-US" w:eastAsia="zh-CN"/>
        </w:rPr>
        <w:t>成长和发展对员工来说是至关重要的。公司重视人才引进、培养，为员工提供职业生涯规划，组织各类企业培训，以提升员工素质，并针对新员工不定期开展职业生涯规划课程，以推拉结合的晋升模式帮助员工导入职业生涯规划。本着“人岗匹配，人尽其才”的基本原则，形成了管理和专业两种职业发展道路，给予员工职业发展方向的选择权，保证公司人力资源优化配置为员工创造良好的晋升渠道，实现员工与企业的共同成长。</w:t>
      </w:r>
    </w:p>
    <w:p>
      <w:pPr>
        <w:spacing w:beforeLines="50" w:afterLines="50" w:line="276" w:lineRule="auto"/>
        <w:ind w:firstLine="723" w:firstLineChars="300"/>
        <w:outlineLvl w:val="0"/>
        <w:rPr>
          <w:rFonts w:hint="default" w:asciiTheme="minorEastAsia" w:hAnsiTheme="minorEastAsia"/>
          <w:sz w:val="24"/>
          <w:szCs w:val="24"/>
          <w:lang w:val="en-US" w:eastAsia="zh-CN"/>
        </w:rPr>
      </w:pPr>
      <w:r>
        <w:rPr>
          <w:rFonts w:hint="eastAsia" w:asciiTheme="minorEastAsia" w:hAnsiTheme="minorEastAsia"/>
          <w:b/>
          <w:bCs/>
          <w:sz w:val="24"/>
          <w:szCs w:val="24"/>
          <w:lang w:val="en-US" w:eastAsia="zh-CN"/>
        </w:rPr>
        <w:t>1.3</w:t>
      </w:r>
      <w:r>
        <w:rPr>
          <w:rFonts w:hint="eastAsia" w:ascii="宋体" w:hAnsi="宋体" w:eastAsia="宋体"/>
          <w:b/>
          <w:sz w:val="24"/>
          <w:szCs w:val="24"/>
          <w:lang w:val="en-US" w:eastAsia="zh-CN"/>
        </w:rPr>
        <w:t>关注员工的文化建设和健康：</w:t>
      </w:r>
      <w:r>
        <w:rPr>
          <w:rFonts w:hint="eastAsia" w:asciiTheme="minorEastAsia" w:hAnsiTheme="minorEastAsia"/>
          <w:sz w:val="24"/>
          <w:szCs w:val="24"/>
          <w:lang w:val="en-US" w:eastAsia="zh-CN"/>
        </w:rPr>
        <w:t>公司除了生产上的安全关注，公司也十分重视员工的文化建设和健康。这主要体现在我们努力为员工创造舒适的工作环境和生活环境，新增图书室、健身房等丰富员工的业余生活，获得了员工的广泛好评。</w:t>
      </w:r>
    </w:p>
    <w:p>
      <w:pPr>
        <w:spacing w:beforeLines="50" w:afterLines="50" w:line="276" w:lineRule="auto"/>
        <w:outlineLvl w:val="0"/>
        <w:rPr>
          <w:rFonts w:hint="eastAsia" w:cs="Times New Roman" w:asciiTheme="majorEastAsia" w:hAnsiTheme="majorEastAsia" w:eastAsiaTheme="majorEastAsia"/>
          <w:b/>
          <w:sz w:val="24"/>
          <w:szCs w:val="24"/>
          <w:lang w:val="en-US" w:eastAsia="zh-CN"/>
        </w:rPr>
      </w:pPr>
      <w:r>
        <w:rPr>
          <w:rFonts w:hint="eastAsia" w:cs="Times New Roman" w:asciiTheme="majorEastAsia" w:hAnsiTheme="majorEastAsia" w:eastAsiaTheme="majorEastAsia"/>
          <w:b/>
          <w:sz w:val="24"/>
          <w:szCs w:val="24"/>
          <w:lang w:val="en-US" w:eastAsia="zh-CN"/>
        </w:rPr>
        <w:t>四、相关方</w:t>
      </w:r>
    </w:p>
    <w:p>
      <w:pPr>
        <w:numPr>
          <w:ilvl w:val="0"/>
          <w:numId w:val="0"/>
        </w:numPr>
        <w:spacing w:beforeLines="50" w:afterLines="50" w:line="276" w:lineRule="auto"/>
        <w:outlineLvl w:val="0"/>
        <w:rPr>
          <w:rFonts w:hint="eastAsia" w:asciiTheme="minorEastAsia" w:hAnsiTheme="minorEastAsia"/>
          <w:sz w:val="24"/>
          <w:szCs w:val="24"/>
          <w:lang w:val="en-US" w:eastAsia="zh-CN"/>
        </w:rPr>
      </w:pPr>
      <w:r>
        <w:rPr>
          <w:rFonts w:hint="eastAsia" w:asciiTheme="minorEastAsia" w:hAnsiTheme="minorEastAsia"/>
          <w:sz w:val="24"/>
          <w:szCs w:val="24"/>
          <w:lang w:val="en-US" w:eastAsia="zh-CN"/>
        </w:rPr>
        <w:t>1、</w:t>
      </w:r>
      <w:r>
        <w:rPr>
          <w:rFonts w:hint="eastAsia" w:ascii="宋体" w:hAnsi="宋体" w:eastAsia="宋体"/>
          <w:b/>
          <w:sz w:val="24"/>
          <w:szCs w:val="24"/>
          <w:lang w:val="en-US" w:eastAsia="zh-CN"/>
        </w:rPr>
        <w:t>与供应商共同发展</w:t>
      </w:r>
    </w:p>
    <w:p>
      <w:pPr>
        <w:numPr>
          <w:ilvl w:val="0"/>
          <w:numId w:val="0"/>
        </w:numPr>
        <w:spacing w:beforeLines="50" w:afterLines="50" w:line="276" w:lineRule="auto"/>
        <w:outlineLvl w:val="0"/>
        <w:rPr>
          <w:rFonts w:hint="eastAsia" w:asciiTheme="minorEastAsia" w:hAnsiTheme="minorEastAsia"/>
          <w:sz w:val="24"/>
          <w:szCs w:val="24"/>
          <w:lang w:val="en-US" w:eastAsia="zh-CN"/>
        </w:rPr>
      </w:pPr>
      <w:r>
        <w:rPr>
          <w:rFonts w:hint="eastAsia" w:asciiTheme="minorEastAsia" w:hAnsiTheme="minorEastAsia"/>
          <w:sz w:val="24"/>
          <w:szCs w:val="24"/>
          <w:lang w:val="en-US" w:eastAsia="zh-CN"/>
        </w:rPr>
        <w:t xml:space="preserve">  浙江台谊消防股份有限公司至2022年合共供应商</w:t>
      </w:r>
      <w:bookmarkStart w:id="7" w:name="_GoBack"/>
      <w:r>
        <w:rPr>
          <w:rFonts w:hint="eastAsia" w:asciiTheme="minorEastAsia" w:hAnsiTheme="minorEastAsia"/>
          <w:color w:val="auto"/>
          <w:sz w:val="24"/>
          <w:szCs w:val="24"/>
          <w:lang w:val="en-US" w:eastAsia="zh-CN"/>
        </w:rPr>
        <w:t>数：71家。</w:t>
      </w:r>
      <w:bookmarkEnd w:id="7"/>
    </w:p>
    <w:p>
      <w:pPr>
        <w:numPr>
          <w:ilvl w:val="1"/>
          <w:numId w:val="3"/>
        </w:numPr>
        <w:spacing w:beforeLines="50" w:afterLines="50" w:line="276" w:lineRule="auto"/>
        <w:ind w:firstLine="723" w:firstLineChars="300"/>
        <w:outlineLvl w:val="0"/>
        <w:rPr>
          <w:rFonts w:hint="eastAsia" w:asciiTheme="minorEastAsia" w:hAnsiTheme="minorEastAsia"/>
          <w:sz w:val="24"/>
          <w:szCs w:val="24"/>
          <w:lang w:val="en-US" w:eastAsia="zh-CN"/>
        </w:rPr>
      </w:pPr>
      <w:r>
        <w:rPr>
          <w:rFonts w:hint="eastAsia" w:ascii="宋体" w:hAnsi="宋体" w:eastAsia="宋体"/>
          <w:b/>
          <w:sz w:val="24"/>
          <w:szCs w:val="24"/>
          <w:lang w:val="en-US" w:eastAsia="zh-CN"/>
        </w:rPr>
        <w:t>公正采购</w:t>
      </w:r>
      <w:r>
        <w:rPr>
          <w:rFonts w:hint="eastAsia" w:asciiTheme="minorEastAsia" w:hAnsiTheme="minorEastAsia"/>
          <w:sz w:val="24"/>
          <w:szCs w:val="24"/>
          <w:lang w:val="en-US" w:eastAsia="zh-CN"/>
        </w:rPr>
        <w:t>：公司建立完善的供方管理制度，保证公平、公正，同时采购成本更具优势，供应链更加优化。</w:t>
      </w:r>
    </w:p>
    <w:p>
      <w:pPr>
        <w:numPr>
          <w:ilvl w:val="1"/>
          <w:numId w:val="3"/>
        </w:numPr>
        <w:spacing w:beforeLines="50" w:afterLines="50" w:line="276" w:lineRule="auto"/>
        <w:ind w:firstLine="723" w:firstLineChars="300"/>
        <w:outlineLvl w:val="0"/>
        <w:rPr>
          <w:rFonts w:hint="default" w:asciiTheme="minorEastAsia" w:hAnsiTheme="minorEastAsia"/>
          <w:sz w:val="24"/>
          <w:szCs w:val="24"/>
          <w:lang w:val="en-US" w:eastAsia="zh-CN"/>
        </w:rPr>
      </w:pPr>
      <w:r>
        <w:rPr>
          <w:rFonts w:hint="eastAsia" w:ascii="宋体" w:hAnsi="宋体" w:eastAsia="宋体"/>
          <w:b/>
          <w:sz w:val="24"/>
          <w:szCs w:val="24"/>
          <w:lang w:val="en-US" w:eastAsia="zh-CN"/>
        </w:rPr>
        <w:t>快速、准确采购</w:t>
      </w:r>
      <w:r>
        <w:rPr>
          <w:rFonts w:hint="eastAsia" w:asciiTheme="minorEastAsia" w:hAnsiTheme="minorEastAsia"/>
          <w:sz w:val="24"/>
          <w:szCs w:val="24"/>
          <w:lang w:val="en-US" w:eastAsia="zh-CN"/>
        </w:rPr>
        <w:t>：根据公司业务发展需要，提前进行标准物料的产能评估，了解供应商的设备、人员负荷，确保供应商能及时交付，合同履行部门负责订单的履行及风险评估。对于有瓶颈期供应商进行指导，有改进空间的供应商协助改进，无改进空间的供应商则寻找其他货源。</w:t>
      </w:r>
    </w:p>
    <w:p>
      <w:pPr>
        <w:numPr>
          <w:ilvl w:val="0"/>
          <w:numId w:val="0"/>
        </w:numPr>
        <w:spacing w:beforeLines="50" w:afterLines="50" w:line="276" w:lineRule="auto"/>
        <w:outlineLvl w:val="0"/>
        <w:rPr>
          <w:rFonts w:hint="eastAsia" w:ascii="宋体" w:hAnsi="宋体" w:eastAsia="宋体"/>
          <w:b/>
          <w:sz w:val="24"/>
          <w:szCs w:val="24"/>
          <w:lang w:val="en-US" w:eastAsia="zh-CN"/>
        </w:rPr>
      </w:pPr>
      <w:r>
        <w:rPr>
          <w:rFonts w:hint="eastAsia" w:ascii="宋体" w:hAnsi="宋体" w:eastAsia="宋体"/>
          <w:b/>
          <w:sz w:val="24"/>
          <w:szCs w:val="24"/>
          <w:lang w:val="en-US" w:eastAsia="zh-CN"/>
        </w:rPr>
        <w:t>五、客户</w:t>
      </w:r>
    </w:p>
    <w:p>
      <w:pPr>
        <w:numPr>
          <w:ilvl w:val="0"/>
          <w:numId w:val="0"/>
        </w:numPr>
        <w:spacing w:beforeLines="50" w:afterLines="50" w:line="276" w:lineRule="auto"/>
        <w:ind w:firstLine="240" w:firstLineChars="100"/>
        <w:outlineLvl w:val="0"/>
        <w:rPr>
          <w:rFonts w:hint="eastAsia" w:asciiTheme="minorEastAsia" w:hAnsiTheme="minorEastAsia"/>
          <w:sz w:val="24"/>
          <w:szCs w:val="24"/>
          <w:lang w:val="en-US" w:eastAsia="zh-CN"/>
        </w:rPr>
      </w:pPr>
      <w:r>
        <w:rPr>
          <w:rFonts w:hint="eastAsia" w:asciiTheme="minorEastAsia" w:hAnsiTheme="minorEastAsia"/>
          <w:sz w:val="24"/>
          <w:szCs w:val="24"/>
          <w:lang w:val="en-US" w:eastAsia="zh-CN"/>
        </w:rPr>
        <w:t>1、</w:t>
      </w:r>
      <w:r>
        <w:rPr>
          <w:rFonts w:hint="eastAsia" w:ascii="宋体" w:hAnsi="宋体" w:eastAsia="宋体"/>
          <w:b/>
          <w:sz w:val="24"/>
          <w:szCs w:val="24"/>
          <w:lang w:val="en-US" w:eastAsia="zh-CN"/>
        </w:rPr>
        <w:t>服务创造价值</w:t>
      </w:r>
      <w:r>
        <w:rPr>
          <w:rFonts w:hint="eastAsia" w:asciiTheme="minorEastAsia" w:hAnsiTheme="minorEastAsia"/>
          <w:sz w:val="24"/>
          <w:szCs w:val="24"/>
          <w:lang w:val="en-US" w:eastAsia="zh-CN"/>
        </w:rPr>
        <w:t>：公司设立400服务热线，通过热电话可以随时与服务人员取得联系，确保客户反馈的问题在任何时间段都能得到及时响应。</w:t>
      </w:r>
    </w:p>
    <w:p>
      <w:pPr>
        <w:numPr>
          <w:ilvl w:val="0"/>
          <w:numId w:val="0"/>
        </w:numPr>
        <w:spacing w:beforeLines="50" w:afterLines="50" w:line="276" w:lineRule="auto"/>
        <w:ind w:firstLine="240" w:firstLineChars="100"/>
        <w:outlineLvl w:val="0"/>
        <w:rPr>
          <w:rFonts w:hint="default" w:asciiTheme="minorEastAsia" w:hAnsiTheme="minorEastAsia"/>
          <w:sz w:val="24"/>
          <w:szCs w:val="24"/>
          <w:lang w:val="en-US" w:eastAsia="zh-CN"/>
        </w:rPr>
      </w:pPr>
      <w:r>
        <w:rPr>
          <w:rFonts w:hint="eastAsia" w:asciiTheme="minorEastAsia" w:hAnsiTheme="minorEastAsia"/>
          <w:sz w:val="24"/>
          <w:szCs w:val="24"/>
          <w:lang w:val="en-US" w:eastAsia="zh-CN"/>
        </w:rPr>
        <w:t>2、客户满意度调查：每年由公司销售部进行顾客满意度调查，发放顾客满意度调查表，对调查表进行解释、收集、汇总、整理、分析、形成满意度调查报告。2021年度顾客满意度为97.3。针对客户的不满意，公司会作详细的客户回访调查，明确导致客户不满意的问题，由专人提交责任部门整改，跟踪落实到位并反馈顾客结果。</w:t>
      </w:r>
    </w:p>
    <w:p>
      <w:pPr>
        <w:spacing w:beforeLines="50" w:afterLines="50" w:line="276" w:lineRule="auto"/>
        <w:outlineLvl w:val="0"/>
        <w:rPr>
          <w:rFonts w:cs="Times New Roman" w:asciiTheme="majorEastAsia" w:hAnsiTheme="majorEastAsia" w:eastAsiaTheme="majorEastAsia"/>
          <w:b/>
          <w:sz w:val="24"/>
          <w:szCs w:val="24"/>
        </w:rPr>
      </w:pPr>
      <w:r>
        <w:rPr>
          <w:rFonts w:hint="eastAsia" w:cs="Times New Roman" w:asciiTheme="majorEastAsia" w:hAnsiTheme="majorEastAsia" w:eastAsiaTheme="majorEastAsia"/>
          <w:b/>
          <w:sz w:val="24"/>
          <w:szCs w:val="24"/>
          <w:lang w:val="en-US" w:eastAsia="zh-CN"/>
        </w:rPr>
        <w:t>六、</w:t>
      </w:r>
      <w:r>
        <w:rPr>
          <w:rFonts w:hint="eastAsia" w:cs="Times New Roman" w:asciiTheme="majorEastAsia" w:hAnsiTheme="majorEastAsia" w:eastAsiaTheme="majorEastAsia"/>
          <w:b/>
          <w:sz w:val="24"/>
          <w:szCs w:val="24"/>
        </w:rPr>
        <w:t>社会责任</w:t>
      </w:r>
      <w:bookmarkEnd w:id="2"/>
      <w:bookmarkEnd w:id="3"/>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公司作为国内消防应急照明和疏散指示系统产品的龙头企业，为社会创造价值的同时，积极履行社会责任，全力支持</w:t>
      </w:r>
      <w:r>
        <w:rPr>
          <w:rFonts w:hint="eastAsia" w:asciiTheme="minorEastAsia" w:hAnsiTheme="minorEastAsia"/>
          <w:sz w:val="24"/>
          <w:szCs w:val="24"/>
          <w:lang w:val="en-US" w:eastAsia="zh-CN"/>
        </w:rPr>
        <w:t>社会</w:t>
      </w:r>
      <w:r>
        <w:rPr>
          <w:rFonts w:hint="eastAsia" w:asciiTheme="minorEastAsia" w:hAnsiTheme="minorEastAsia"/>
          <w:sz w:val="24"/>
          <w:szCs w:val="24"/>
        </w:rPr>
        <w:t>公益事业。在履行公共责任、公民义务、恪守道德规范和保护公众健康、安全、环境等方面，公司从自身生产经营活动出发，分析相关活动对社会产生的影响，积极主动承担责任和义务，并在行业中率先向社会定期发布社会责任报告。</w:t>
      </w:r>
      <w:bookmarkStart w:id="4" w:name="_Toc370203524"/>
    </w:p>
    <w:p>
      <w:pPr>
        <w:spacing w:line="360" w:lineRule="auto"/>
        <w:rPr>
          <w:rFonts w:asciiTheme="minorEastAsia" w:hAnsiTheme="minorEastAsia"/>
          <w:sz w:val="24"/>
          <w:szCs w:val="24"/>
        </w:rPr>
      </w:pPr>
      <w:r>
        <w:rPr>
          <w:rFonts w:hint="eastAsia" w:asciiTheme="minorEastAsia" w:hAnsiTheme="minorEastAsia"/>
          <w:sz w:val="24"/>
          <w:szCs w:val="24"/>
        </w:rPr>
        <w:t>1、</w:t>
      </w:r>
      <w:r>
        <w:rPr>
          <w:rFonts w:hint="eastAsia" w:ascii="宋体" w:hAnsi="宋体"/>
          <w:b/>
          <w:sz w:val="24"/>
          <w:szCs w:val="24"/>
        </w:rPr>
        <w:t>公共责任</w:t>
      </w:r>
      <w:bookmarkEnd w:id="4"/>
    </w:p>
    <w:p>
      <w:pPr>
        <w:spacing w:line="360" w:lineRule="auto"/>
        <w:rPr>
          <w:rFonts w:asciiTheme="minorEastAsia" w:hAnsiTheme="minorEastAsia"/>
          <w:sz w:val="24"/>
          <w:szCs w:val="24"/>
        </w:rPr>
      </w:pPr>
      <w:r>
        <w:rPr>
          <w:rFonts w:hint="eastAsia" w:ascii="宋体" w:hAnsi="宋体" w:eastAsia="宋体"/>
          <w:b/>
          <w:sz w:val="24"/>
          <w:szCs w:val="24"/>
        </w:rPr>
        <w:t>1.1</w:t>
      </w:r>
      <w:r>
        <w:rPr>
          <w:rFonts w:hint="eastAsia" w:asciiTheme="minorEastAsia" w:hAnsiTheme="minorEastAsia"/>
          <w:sz w:val="24"/>
          <w:szCs w:val="24"/>
        </w:rPr>
        <w:t>公司在生产过程中对社会带来的影响因素有粉尘、废气、生活污水、噪声排放等，给环境带来污染，噪声可能会给公众身体带来危害等。</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为此，公司贯彻国家《环境保护法》、《大气污染防治法》、《水污染防治法》、《安全生产法》、《消防法》相关法律法规，确立减少污染、排放治理的工作目标，按照</w:t>
      </w:r>
      <w:r>
        <w:rPr>
          <w:rFonts w:hint="eastAsia" w:asciiTheme="minorEastAsia" w:hAnsiTheme="minorEastAsia"/>
          <w:b/>
          <w:sz w:val="24"/>
          <w:szCs w:val="24"/>
        </w:rPr>
        <w:t>“增强意识、节能降耗，推行清洁生产；遵守法规，预防污染，持续改善环境的 ”</w:t>
      </w:r>
      <w:r>
        <w:rPr>
          <w:rFonts w:hint="eastAsia" w:asciiTheme="minorEastAsia" w:hAnsiTheme="minorEastAsia"/>
          <w:sz w:val="24"/>
          <w:szCs w:val="24"/>
        </w:rPr>
        <w:t>的环境管理方针和“以人为本、</w:t>
      </w:r>
      <w:r>
        <w:rPr>
          <w:rFonts w:hint="eastAsia" w:asciiTheme="minorEastAsia" w:hAnsiTheme="minorEastAsia"/>
          <w:b/>
          <w:sz w:val="24"/>
          <w:szCs w:val="24"/>
        </w:rPr>
        <w:t>降低危害，满足法规要求，安全第一，保障健康，持续提高绩效</w:t>
      </w:r>
      <w:r>
        <w:rPr>
          <w:rFonts w:hint="eastAsia" w:asciiTheme="minorEastAsia" w:hAnsiTheme="minorEastAsia"/>
          <w:sz w:val="24"/>
          <w:szCs w:val="24"/>
        </w:rPr>
        <w:t>”的职业健康安全管理方针为指导，设置专门机构负责环境管理和职业安全健康管理。以</w:t>
      </w:r>
      <w:r>
        <w:rPr>
          <w:rFonts w:asciiTheme="minorEastAsia" w:hAnsiTheme="minorEastAsia"/>
          <w:sz w:val="24"/>
          <w:szCs w:val="24"/>
        </w:rPr>
        <w:t>PDCA</w:t>
      </w:r>
      <w:r>
        <w:rPr>
          <w:rFonts w:hint="eastAsia" w:asciiTheme="minorEastAsia" w:hAnsiTheme="minorEastAsia"/>
          <w:sz w:val="24"/>
          <w:szCs w:val="24"/>
        </w:rPr>
        <w:t>循环为手段，建立环境管理体系和职业安全健康管理，通过实施对环境和关键控制点的危害分析、风险评价，落实环境因素识别与评价控制程序、环境运行控制程度、环境监测与测量控制程序、危险源辩识与风险评价控制程序，实现环境和危害分析、关键控制点目标。</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按照公司制订的环境保护和安全生产现场管理制度，严格落实环境、安全预防“三同时”、安全事故“四不放过”的目标控制。在海宁市完成“两个率先”：率先完成四色垃圾分类示范企业建设和完善、率先完成安全生产风险等级管控和隐患排查治理双重预防体系的建设和完善，在公司内落实全员逐级签订安全生产管理目标责任书，建立并完善安全事故应急处理机制，定期开展应急演练活动，实现安全生产目标。</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根据上述措施，公司确定环境保护、能源利用、安全生产、产品安全、公共卫生五个方面，确定相关影响指标、风险识别，根据国家相关标准，确立内控指标、测量方法、控制过程和方法。</w:t>
      </w:r>
    </w:p>
    <w:p>
      <w:pPr>
        <w:spacing w:line="360" w:lineRule="auto"/>
        <w:jc w:val="center"/>
        <w:rPr>
          <w:rFonts w:asciiTheme="minorEastAsia" w:hAnsiTheme="minorEastAsia"/>
          <w:b/>
          <w:sz w:val="24"/>
          <w:szCs w:val="24"/>
        </w:rPr>
      </w:pPr>
      <w:r>
        <w:rPr>
          <w:rFonts w:cs="宋体" w:asciiTheme="minorEastAsia" w:hAnsiTheme="minorEastAsia"/>
          <w:sz w:val="24"/>
          <w:szCs w:val="24"/>
        </w:rPr>
        <w:drawing>
          <wp:anchor distT="0" distB="0" distL="0" distR="0" simplePos="0" relativeHeight="251661312" behindDoc="1" locked="0" layoutInCell="1" allowOverlap="1">
            <wp:simplePos x="0" y="0"/>
            <wp:positionH relativeFrom="column">
              <wp:posOffset>913130</wp:posOffset>
            </wp:positionH>
            <wp:positionV relativeFrom="paragraph">
              <wp:posOffset>250825</wp:posOffset>
            </wp:positionV>
            <wp:extent cx="3686175" cy="3158490"/>
            <wp:effectExtent l="0" t="0" r="9525" b="3810"/>
            <wp:wrapTight wrapText="bothSides">
              <wp:wrapPolygon>
                <wp:start x="0" y="0"/>
                <wp:lineTo x="0" y="21496"/>
                <wp:lineTo x="21544" y="21496"/>
                <wp:lineTo x="21544" y="0"/>
                <wp:lineTo x="0" y="0"/>
              </wp:wrapPolygon>
            </wp:wrapTight>
            <wp:docPr id="12" name="图片 12" descr="BLPR%WE5P97}B)[95XDAN2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BLPR%WE5P97}B)[95XDAN2F"/>
                    <pic:cNvPicPr>
                      <a:picLocks noChangeAspect="1" noChangeArrowheads="1"/>
                    </pic:cNvPicPr>
                  </pic:nvPicPr>
                  <pic:blipFill>
                    <a:blip r:embed="rId6" cstate="print"/>
                    <a:srcRect/>
                    <a:stretch>
                      <a:fillRect/>
                    </a:stretch>
                  </pic:blipFill>
                  <pic:spPr>
                    <a:xfrm>
                      <a:off x="0" y="0"/>
                      <a:ext cx="3690064" cy="3162169"/>
                    </a:xfrm>
                    <a:prstGeom prst="rect">
                      <a:avLst/>
                    </a:prstGeom>
                    <a:noFill/>
                    <a:ln w="9525">
                      <a:noFill/>
                      <a:miter lim="800000"/>
                      <a:headEnd/>
                      <a:tailEnd/>
                    </a:ln>
                  </pic:spPr>
                </pic:pic>
              </a:graphicData>
            </a:graphic>
          </wp:anchor>
        </w:drawing>
      </w:r>
      <w:r>
        <w:rPr>
          <w:rFonts w:hint="eastAsia" w:asciiTheme="minorEastAsia" w:hAnsiTheme="minorEastAsia"/>
          <w:b/>
          <w:sz w:val="24"/>
          <w:szCs w:val="24"/>
        </w:rPr>
        <w:t>公司安全生产委员会运行系统</w:t>
      </w:r>
    </w:p>
    <w:p>
      <w:pPr>
        <w:widowControl/>
        <w:jc w:val="center"/>
        <w:rPr>
          <w:rFonts w:cs="宋体" w:asciiTheme="minorEastAsia" w:hAnsiTheme="minorEastAsia"/>
          <w:sz w:val="24"/>
          <w:szCs w:val="24"/>
        </w:rPr>
      </w:pPr>
    </w:p>
    <w:p>
      <w:pPr>
        <w:spacing w:line="360" w:lineRule="auto"/>
        <w:ind w:firstLine="482" w:firstLineChars="200"/>
        <w:jc w:val="center"/>
        <w:rPr>
          <w:rFonts w:hint="eastAsia" w:asciiTheme="minorEastAsia" w:hAnsiTheme="minorEastAsia"/>
          <w:b/>
          <w:sz w:val="24"/>
          <w:szCs w:val="24"/>
        </w:rPr>
      </w:pPr>
    </w:p>
    <w:p>
      <w:pPr>
        <w:spacing w:line="360" w:lineRule="auto"/>
        <w:ind w:firstLine="482" w:firstLineChars="200"/>
        <w:jc w:val="center"/>
        <w:rPr>
          <w:rFonts w:hint="eastAsia" w:asciiTheme="minorEastAsia" w:hAnsiTheme="minorEastAsia"/>
          <w:b/>
          <w:sz w:val="24"/>
          <w:szCs w:val="24"/>
        </w:rPr>
      </w:pPr>
    </w:p>
    <w:p>
      <w:pPr>
        <w:spacing w:line="360" w:lineRule="auto"/>
        <w:ind w:firstLine="482" w:firstLineChars="200"/>
        <w:jc w:val="center"/>
        <w:rPr>
          <w:rFonts w:hint="eastAsia" w:asciiTheme="minorEastAsia" w:hAnsiTheme="minorEastAsia"/>
          <w:b/>
          <w:sz w:val="24"/>
          <w:szCs w:val="24"/>
        </w:rPr>
      </w:pPr>
    </w:p>
    <w:p>
      <w:pPr>
        <w:spacing w:line="360" w:lineRule="auto"/>
        <w:ind w:firstLine="482" w:firstLineChars="200"/>
        <w:jc w:val="center"/>
        <w:rPr>
          <w:rFonts w:hint="eastAsia" w:asciiTheme="minorEastAsia" w:hAnsiTheme="minorEastAsia"/>
          <w:b/>
          <w:sz w:val="24"/>
          <w:szCs w:val="24"/>
        </w:rPr>
      </w:pPr>
    </w:p>
    <w:p>
      <w:pPr>
        <w:spacing w:line="360" w:lineRule="auto"/>
        <w:ind w:firstLine="482" w:firstLineChars="200"/>
        <w:jc w:val="center"/>
        <w:rPr>
          <w:rFonts w:hint="eastAsia" w:asciiTheme="minorEastAsia" w:hAnsiTheme="minorEastAsia"/>
          <w:b/>
          <w:sz w:val="24"/>
          <w:szCs w:val="24"/>
        </w:rPr>
      </w:pPr>
    </w:p>
    <w:p>
      <w:pPr>
        <w:spacing w:line="360" w:lineRule="auto"/>
        <w:ind w:firstLine="482" w:firstLineChars="200"/>
        <w:jc w:val="center"/>
        <w:rPr>
          <w:rFonts w:hint="eastAsia" w:asciiTheme="minorEastAsia" w:hAnsiTheme="minorEastAsia"/>
          <w:b/>
          <w:sz w:val="24"/>
          <w:szCs w:val="24"/>
        </w:rPr>
      </w:pPr>
    </w:p>
    <w:p>
      <w:pPr>
        <w:spacing w:line="360" w:lineRule="auto"/>
        <w:ind w:firstLine="482" w:firstLineChars="200"/>
        <w:jc w:val="center"/>
        <w:rPr>
          <w:rFonts w:hint="eastAsia" w:asciiTheme="minorEastAsia" w:hAnsiTheme="minorEastAsia"/>
          <w:b/>
          <w:sz w:val="24"/>
          <w:szCs w:val="24"/>
        </w:rPr>
      </w:pPr>
    </w:p>
    <w:p>
      <w:pPr>
        <w:spacing w:line="360" w:lineRule="auto"/>
        <w:ind w:firstLine="482" w:firstLineChars="200"/>
        <w:jc w:val="center"/>
        <w:rPr>
          <w:rFonts w:asciiTheme="minorEastAsia" w:hAnsiTheme="minorEastAsia"/>
          <w:b/>
          <w:sz w:val="24"/>
          <w:szCs w:val="24"/>
        </w:rPr>
      </w:pPr>
      <w:r>
        <w:rPr>
          <w:rFonts w:hint="eastAsia" w:asciiTheme="minorEastAsia" w:hAnsiTheme="minorEastAsia"/>
          <w:b/>
          <w:sz w:val="24"/>
          <w:szCs w:val="24"/>
        </w:rPr>
        <w:t>公共责任控制方法</w:t>
      </w:r>
    </w:p>
    <w:tbl>
      <w:tblPr>
        <w:tblStyle w:val="39"/>
        <w:tblW w:w="9136" w:type="dxa"/>
        <w:jc w:val="center"/>
        <w:tblInd w:w="0" w:type="dxa"/>
        <w:tblBorders>
          <w:top w:val="thinThickSmallGap" w:color="008080" w:sz="18" w:space="0"/>
          <w:left w:val="thinThickSmallGap" w:color="008080" w:sz="18" w:space="0"/>
          <w:bottom w:val="thickThinSmallGap" w:color="008080" w:sz="18" w:space="0"/>
          <w:right w:val="thickThinSmallGap" w:color="008080" w:sz="18" w:space="0"/>
          <w:insideH w:val="single" w:color="008080" w:sz="6" w:space="0"/>
          <w:insideV w:val="single" w:color="008080" w:sz="6" w:space="0"/>
        </w:tblBorders>
        <w:tblLayout w:type="fixed"/>
        <w:tblCellMar>
          <w:top w:w="0" w:type="dxa"/>
          <w:left w:w="108" w:type="dxa"/>
          <w:bottom w:w="0" w:type="dxa"/>
          <w:right w:w="108" w:type="dxa"/>
        </w:tblCellMar>
      </w:tblPr>
      <w:tblGrid>
        <w:gridCol w:w="680"/>
        <w:gridCol w:w="1005"/>
        <w:gridCol w:w="1107"/>
        <w:gridCol w:w="1776"/>
        <w:gridCol w:w="1776"/>
        <w:gridCol w:w="1037"/>
        <w:gridCol w:w="1755"/>
      </w:tblGrid>
      <w:tr>
        <w:tblPrEx>
          <w:tblBorders>
            <w:top w:val="thinThickSmallGap" w:color="008080" w:sz="18" w:space="0"/>
            <w:left w:val="thinThickSmallGap" w:color="008080" w:sz="18" w:space="0"/>
            <w:bottom w:val="thickThinSmallGap" w:color="008080" w:sz="18" w:space="0"/>
            <w:right w:val="thickThinSmallGap" w:color="008080" w:sz="18" w:space="0"/>
            <w:insideH w:val="single" w:color="008080" w:sz="6" w:space="0"/>
            <w:insideV w:val="single" w:color="008080" w:sz="6" w:space="0"/>
          </w:tblBorders>
          <w:tblLayout w:type="fixed"/>
          <w:tblCellMar>
            <w:top w:w="0" w:type="dxa"/>
            <w:left w:w="108" w:type="dxa"/>
            <w:bottom w:w="0" w:type="dxa"/>
            <w:right w:w="108" w:type="dxa"/>
          </w:tblCellMar>
        </w:tblPrEx>
        <w:trPr>
          <w:trHeight w:val="20" w:hRule="atLeast"/>
          <w:tblHeader/>
          <w:jc w:val="center"/>
        </w:trPr>
        <w:tc>
          <w:tcPr>
            <w:tcW w:w="680" w:type="dxa"/>
            <w:shd w:val="clear" w:color="auto" w:fill="auto"/>
            <w:vAlign w:val="center"/>
          </w:tcPr>
          <w:p>
            <w:pPr>
              <w:widowControl/>
              <w:jc w:val="center"/>
              <w:rPr>
                <w:rFonts w:cs="宋体" w:asciiTheme="minorEastAsia" w:hAnsiTheme="minorEastAsia"/>
                <w:b/>
                <w:sz w:val="24"/>
                <w:szCs w:val="24"/>
              </w:rPr>
            </w:pPr>
            <w:r>
              <w:rPr>
                <w:rFonts w:hint="eastAsia" w:cs="宋体" w:asciiTheme="minorEastAsia" w:hAnsiTheme="minorEastAsia"/>
                <w:b/>
                <w:sz w:val="24"/>
                <w:szCs w:val="24"/>
              </w:rPr>
              <w:t>控制</w:t>
            </w:r>
          </w:p>
          <w:p>
            <w:pPr>
              <w:widowControl/>
              <w:jc w:val="center"/>
              <w:rPr>
                <w:rFonts w:cs="宋体" w:asciiTheme="minorEastAsia" w:hAnsiTheme="minorEastAsia"/>
                <w:b/>
                <w:sz w:val="24"/>
                <w:szCs w:val="24"/>
              </w:rPr>
            </w:pPr>
            <w:r>
              <w:rPr>
                <w:rFonts w:hint="eastAsia" w:cs="宋体" w:asciiTheme="minorEastAsia" w:hAnsiTheme="minorEastAsia"/>
                <w:b/>
                <w:sz w:val="24"/>
                <w:szCs w:val="24"/>
              </w:rPr>
              <w:t>项目</w:t>
            </w:r>
          </w:p>
        </w:tc>
        <w:tc>
          <w:tcPr>
            <w:tcW w:w="1005" w:type="dxa"/>
            <w:shd w:val="clear" w:color="auto" w:fill="auto"/>
            <w:vAlign w:val="center"/>
          </w:tcPr>
          <w:p>
            <w:pPr>
              <w:widowControl/>
              <w:ind w:left="19" w:leftChars="-48" w:right="-103" w:rightChars="-49" w:hanging="120" w:hangingChars="50"/>
              <w:jc w:val="center"/>
              <w:rPr>
                <w:rFonts w:cs="宋体" w:asciiTheme="minorEastAsia" w:hAnsiTheme="minorEastAsia"/>
                <w:b/>
                <w:sz w:val="24"/>
                <w:szCs w:val="24"/>
              </w:rPr>
            </w:pPr>
            <w:r>
              <w:rPr>
                <w:rFonts w:hint="eastAsia" w:cs="宋体" w:asciiTheme="minorEastAsia" w:hAnsiTheme="minorEastAsia"/>
                <w:b/>
                <w:sz w:val="24"/>
                <w:szCs w:val="24"/>
              </w:rPr>
              <w:t>影响</w:t>
            </w:r>
          </w:p>
          <w:p>
            <w:pPr>
              <w:widowControl/>
              <w:ind w:left="19" w:leftChars="-48" w:right="-103" w:rightChars="-49" w:hanging="120" w:hangingChars="50"/>
              <w:jc w:val="center"/>
              <w:rPr>
                <w:rFonts w:cs="宋体" w:asciiTheme="minorEastAsia" w:hAnsiTheme="minorEastAsia"/>
                <w:b/>
                <w:sz w:val="24"/>
                <w:szCs w:val="24"/>
              </w:rPr>
            </w:pPr>
            <w:r>
              <w:rPr>
                <w:rFonts w:hint="eastAsia" w:cs="宋体" w:asciiTheme="minorEastAsia" w:hAnsiTheme="minorEastAsia"/>
                <w:b/>
                <w:sz w:val="24"/>
                <w:szCs w:val="24"/>
              </w:rPr>
              <w:t>指标</w:t>
            </w:r>
          </w:p>
        </w:tc>
        <w:tc>
          <w:tcPr>
            <w:tcW w:w="1107" w:type="dxa"/>
            <w:shd w:val="clear" w:color="auto" w:fill="auto"/>
            <w:vAlign w:val="center"/>
          </w:tcPr>
          <w:p>
            <w:pPr>
              <w:widowControl/>
              <w:ind w:left="22" w:leftChars="-53" w:right="-80" w:rightChars="-38" w:hanging="133" w:hangingChars="55"/>
              <w:jc w:val="center"/>
              <w:rPr>
                <w:rFonts w:cs="宋体" w:asciiTheme="minorEastAsia" w:hAnsiTheme="minorEastAsia"/>
                <w:b/>
                <w:sz w:val="24"/>
                <w:szCs w:val="24"/>
              </w:rPr>
            </w:pPr>
            <w:r>
              <w:rPr>
                <w:rFonts w:hint="eastAsia" w:cs="宋体" w:asciiTheme="minorEastAsia" w:hAnsiTheme="minorEastAsia"/>
                <w:b/>
                <w:sz w:val="24"/>
                <w:szCs w:val="24"/>
              </w:rPr>
              <w:t>相关</w:t>
            </w:r>
          </w:p>
          <w:p>
            <w:pPr>
              <w:widowControl/>
              <w:ind w:left="22" w:leftChars="-53" w:right="-80" w:rightChars="-38" w:hanging="133" w:hangingChars="55"/>
              <w:jc w:val="center"/>
              <w:rPr>
                <w:rFonts w:cs="宋体" w:asciiTheme="minorEastAsia" w:hAnsiTheme="minorEastAsia"/>
                <w:b/>
                <w:sz w:val="24"/>
                <w:szCs w:val="24"/>
              </w:rPr>
            </w:pPr>
            <w:r>
              <w:rPr>
                <w:rFonts w:hint="eastAsia" w:cs="宋体" w:asciiTheme="minorEastAsia" w:hAnsiTheme="minorEastAsia"/>
                <w:b/>
                <w:sz w:val="24"/>
                <w:szCs w:val="24"/>
              </w:rPr>
              <w:t>风险</w:t>
            </w:r>
          </w:p>
        </w:tc>
        <w:tc>
          <w:tcPr>
            <w:tcW w:w="1776" w:type="dxa"/>
            <w:shd w:val="clear" w:color="auto" w:fill="auto"/>
            <w:vAlign w:val="center"/>
          </w:tcPr>
          <w:p>
            <w:pPr>
              <w:widowControl/>
              <w:jc w:val="center"/>
              <w:rPr>
                <w:rFonts w:cs="宋体" w:asciiTheme="minorEastAsia" w:hAnsiTheme="minorEastAsia"/>
                <w:b/>
                <w:sz w:val="24"/>
                <w:szCs w:val="24"/>
              </w:rPr>
            </w:pPr>
            <w:r>
              <w:rPr>
                <w:rFonts w:hint="eastAsia" w:cs="宋体" w:asciiTheme="minorEastAsia" w:hAnsiTheme="minorEastAsia"/>
                <w:b/>
                <w:sz w:val="24"/>
                <w:szCs w:val="24"/>
              </w:rPr>
              <w:t>国家行业标准</w:t>
            </w:r>
          </w:p>
        </w:tc>
        <w:tc>
          <w:tcPr>
            <w:tcW w:w="1776" w:type="dxa"/>
            <w:shd w:val="clear" w:color="auto" w:fill="auto"/>
            <w:vAlign w:val="center"/>
          </w:tcPr>
          <w:p>
            <w:pPr>
              <w:widowControl/>
              <w:ind w:right="-48" w:rightChars="-23"/>
              <w:jc w:val="center"/>
              <w:rPr>
                <w:rFonts w:cs="宋体" w:asciiTheme="minorEastAsia" w:hAnsiTheme="minorEastAsia"/>
                <w:b/>
                <w:sz w:val="24"/>
                <w:szCs w:val="24"/>
              </w:rPr>
            </w:pPr>
            <w:r>
              <w:rPr>
                <w:rFonts w:hint="eastAsia" w:cs="宋体" w:asciiTheme="minorEastAsia" w:hAnsiTheme="minorEastAsia"/>
                <w:b/>
                <w:sz w:val="24"/>
                <w:szCs w:val="24"/>
              </w:rPr>
              <w:t>内控指标</w:t>
            </w:r>
          </w:p>
        </w:tc>
        <w:tc>
          <w:tcPr>
            <w:tcW w:w="1037" w:type="dxa"/>
            <w:shd w:val="clear" w:color="auto" w:fill="auto"/>
            <w:vAlign w:val="center"/>
          </w:tcPr>
          <w:p>
            <w:pPr>
              <w:widowControl/>
              <w:ind w:left="16" w:leftChars="-38" w:right="-107" w:rightChars="-51" w:hanging="96" w:hangingChars="40"/>
              <w:jc w:val="center"/>
              <w:rPr>
                <w:rFonts w:cs="宋体" w:asciiTheme="minorEastAsia" w:hAnsiTheme="minorEastAsia"/>
                <w:b/>
                <w:sz w:val="24"/>
                <w:szCs w:val="24"/>
              </w:rPr>
            </w:pPr>
            <w:r>
              <w:rPr>
                <w:rFonts w:hint="eastAsia" w:cs="宋体" w:asciiTheme="minorEastAsia" w:hAnsiTheme="minorEastAsia"/>
                <w:b/>
                <w:sz w:val="24"/>
                <w:szCs w:val="24"/>
              </w:rPr>
              <w:t>测量</w:t>
            </w:r>
          </w:p>
          <w:p>
            <w:pPr>
              <w:widowControl/>
              <w:ind w:left="16" w:leftChars="-38" w:right="-107" w:rightChars="-51" w:hanging="96" w:hangingChars="40"/>
              <w:jc w:val="center"/>
              <w:rPr>
                <w:rFonts w:cs="宋体" w:asciiTheme="minorEastAsia" w:hAnsiTheme="minorEastAsia"/>
                <w:b/>
                <w:sz w:val="24"/>
                <w:szCs w:val="24"/>
              </w:rPr>
            </w:pPr>
            <w:r>
              <w:rPr>
                <w:rFonts w:hint="eastAsia" w:cs="宋体" w:asciiTheme="minorEastAsia" w:hAnsiTheme="minorEastAsia"/>
                <w:b/>
                <w:sz w:val="24"/>
                <w:szCs w:val="24"/>
              </w:rPr>
              <w:t>方法</w:t>
            </w:r>
          </w:p>
        </w:tc>
        <w:tc>
          <w:tcPr>
            <w:tcW w:w="1755" w:type="dxa"/>
            <w:shd w:val="clear" w:color="auto" w:fill="auto"/>
            <w:vAlign w:val="center"/>
          </w:tcPr>
          <w:p>
            <w:pPr>
              <w:widowControl/>
              <w:jc w:val="center"/>
              <w:rPr>
                <w:rFonts w:cs="宋体" w:asciiTheme="minorEastAsia" w:hAnsiTheme="minorEastAsia"/>
                <w:b/>
                <w:sz w:val="24"/>
                <w:szCs w:val="24"/>
              </w:rPr>
            </w:pPr>
            <w:r>
              <w:rPr>
                <w:rFonts w:hint="eastAsia" w:cs="宋体" w:asciiTheme="minorEastAsia" w:hAnsiTheme="minorEastAsia"/>
                <w:b/>
                <w:sz w:val="24"/>
                <w:szCs w:val="24"/>
              </w:rPr>
              <w:t>控制措施</w:t>
            </w:r>
          </w:p>
        </w:tc>
      </w:tr>
      <w:tr>
        <w:tblPrEx>
          <w:tblBorders>
            <w:top w:val="thinThickSmallGap" w:color="008080" w:sz="18" w:space="0"/>
            <w:left w:val="thinThickSmallGap" w:color="008080" w:sz="18" w:space="0"/>
            <w:bottom w:val="thickThinSmallGap" w:color="008080" w:sz="18" w:space="0"/>
            <w:right w:val="thickThinSmallGap" w:color="008080" w:sz="18" w:space="0"/>
            <w:insideH w:val="single" w:color="008080" w:sz="6" w:space="0"/>
            <w:insideV w:val="single" w:color="008080" w:sz="6" w:space="0"/>
          </w:tblBorders>
          <w:tblLayout w:type="fixed"/>
          <w:tblCellMar>
            <w:top w:w="0" w:type="dxa"/>
            <w:left w:w="108" w:type="dxa"/>
            <w:bottom w:w="0" w:type="dxa"/>
            <w:right w:w="108" w:type="dxa"/>
          </w:tblCellMar>
        </w:tblPrEx>
        <w:trPr>
          <w:trHeight w:val="1080" w:hRule="atLeast"/>
          <w:jc w:val="center"/>
        </w:trPr>
        <w:tc>
          <w:tcPr>
            <w:tcW w:w="680" w:type="dxa"/>
            <w:vMerge w:val="restart"/>
            <w:shd w:val="clear" w:color="auto" w:fill="FFFFFF"/>
            <w:vAlign w:val="center"/>
          </w:tcPr>
          <w:p>
            <w:pPr>
              <w:widowControl/>
              <w:jc w:val="center"/>
              <w:rPr>
                <w:rFonts w:cs="宋体" w:asciiTheme="minorEastAsia" w:hAnsiTheme="minorEastAsia"/>
                <w:sz w:val="24"/>
                <w:szCs w:val="24"/>
              </w:rPr>
            </w:pPr>
            <w:r>
              <w:rPr>
                <w:rFonts w:hint="eastAsia" w:cs="宋体" w:asciiTheme="minorEastAsia" w:hAnsiTheme="minorEastAsia"/>
                <w:sz w:val="24"/>
                <w:szCs w:val="24"/>
              </w:rPr>
              <w:t>环境保护</w:t>
            </w:r>
          </w:p>
        </w:tc>
        <w:tc>
          <w:tcPr>
            <w:tcW w:w="1005" w:type="dxa"/>
            <w:shd w:val="clear" w:color="auto" w:fill="FFFFFF"/>
            <w:vAlign w:val="center"/>
          </w:tcPr>
          <w:p>
            <w:pPr>
              <w:widowControl/>
              <w:ind w:left="19" w:leftChars="-48" w:right="-103" w:rightChars="-49" w:hanging="120" w:hangingChars="50"/>
              <w:jc w:val="center"/>
              <w:rPr>
                <w:rFonts w:cs="宋体" w:asciiTheme="minorEastAsia" w:hAnsiTheme="minorEastAsia"/>
                <w:sz w:val="24"/>
                <w:szCs w:val="24"/>
              </w:rPr>
            </w:pPr>
            <w:r>
              <w:rPr>
                <w:rFonts w:hint="eastAsia" w:cs="宋体" w:asciiTheme="minorEastAsia" w:hAnsiTheme="minorEastAsia"/>
                <w:sz w:val="24"/>
                <w:szCs w:val="24"/>
              </w:rPr>
              <w:t>污水</w:t>
            </w:r>
          </w:p>
        </w:tc>
        <w:tc>
          <w:tcPr>
            <w:tcW w:w="1107" w:type="dxa"/>
            <w:shd w:val="clear" w:color="auto" w:fill="FFFFFF"/>
            <w:vAlign w:val="center"/>
          </w:tcPr>
          <w:p>
            <w:pPr>
              <w:widowControl/>
              <w:ind w:left="21" w:leftChars="-53" w:right="-80" w:rightChars="-38" w:hanging="132" w:hangingChars="55"/>
              <w:jc w:val="center"/>
              <w:rPr>
                <w:rFonts w:cs="宋体" w:asciiTheme="minorEastAsia" w:hAnsiTheme="minorEastAsia"/>
                <w:sz w:val="24"/>
                <w:szCs w:val="24"/>
              </w:rPr>
            </w:pPr>
            <w:r>
              <w:rPr>
                <w:rFonts w:hint="eastAsia" w:cs="宋体" w:asciiTheme="minorEastAsia" w:hAnsiTheme="minorEastAsia"/>
                <w:sz w:val="24"/>
                <w:szCs w:val="24"/>
              </w:rPr>
              <w:t>水体污染</w:t>
            </w:r>
          </w:p>
        </w:tc>
        <w:tc>
          <w:tcPr>
            <w:tcW w:w="1776" w:type="dxa"/>
            <w:shd w:val="clear" w:color="auto" w:fill="FFFFFF"/>
            <w:vAlign w:val="center"/>
          </w:tcPr>
          <w:p>
            <w:pPr>
              <w:widowControl/>
              <w:jc w:val="left"/>
              <w:rPr>
                <w:rFonts w:cs="宋体" w:asciiTheme="minorEastAsia" w:hAnsiTheme="minorEastAsia"/>
                <w:sz w:val="24"/>
                <w:szCs w:val="24"/>
              </w:rPr>
            </w:pPr>
            <w:r>
              <w:rPr>
                <w:rFonts w:hint="eastAsia" w:cs="宋体" w:asciiTheme="minorEastAsia" w:hAnsiTheme="minorEastAsia"/>
                <w:sz w:val="24"/>
                <w:szCs w:val="24"/>
              </w:rPr>
              <w:t>GB8978-</w:t>
            </w:r>
            <w:r>
              <w:rPr>
                <w:rFonts w:hint="eastAsia" w:cs="宋体" w:asciiTheme="minorEastAsia" w:hAnsiTheme="minorEastAsia"/>
                <w:sz w:val="24"/>
                <w:szCs w:val="24"/>
                <w:lang w:val="en-US" w:eastAsia="zh-CN"/>
              </w:rPr>
              <w:t>19</w:t>
            </w:r>
            <w:r>
              <w:rPr>
                <w:rFonts w:hint="eastAsia" w:cs="宋体" w:asciiTheme="minorEastAsia" w:hAnsiTheme="minorEastAsia"/>
                <w:sz w:val="24"/>
                <w:szCs w:val="24"/>
              </w:rPr>
              <w:t>96 三级</w:t>
            </w:r>
          </w:p>
          <w:p>
            <w:pPr>
              <w:widowControl/>
              <w:jc w:val="left"/>
              <w:rPr>
                <w:rFonts w:cs="宋体" w:asciiTheme="minorEastAsia" w:hAnsiTheme="minorEastAsia"/>
                <w:sz w:val="24"/>
                <w:szCs w:val="24"/>
              </w:rPr>
            </w:pPr>
            <w:r>
              <w:rPr>
                <w:rFonts w:hint="eastAsia" w:cs="宋体" w:asciiTheme="minorEastAsia" w:hAnsiTheme="minorEastAsia"/>
                <w:sz w:val="24"/>
                <w:szCs w:val="24"/>
              </w:rPr>
              <w:t>DB33/887-2013</w:t>
            </w:r>
          </w:p>
        </w:tc>
        <w:tc>
          <w:tcPr>
            <w:tcW w:w="1776" w:type="dxa"/>
            <w:shd w:val="clear" w:color="auto" w:fill="FFFFFF"/>
            <w:vAlign w:val="center"/>
          </w:tcPr>
          <w:p>
            <w:pPr>
              <w:widowControl/>
              <w:jc w:val="left"/>
              <w:rPr>
                <w:rFonts w:cs="宋体" w:asciiTheme="minorEastAsia" w:hAnsiTheme="minorEastAsia"/>
                <w:sz w:val="24"/>
                <w:szCs w:val="24"/>
              </w:rPr>
            </w:pPr>
            <w:r>
              <w:rPr>
                <w:rFonts w:hint="eastAsia" w:cs="宋体" w:asciiTheme="minorEastAsia" w:hAnsiTheme="minorEastAsia"/>
                <w:sz w:val="24"/>
                <w:szCs w:val="24"/>
              </w:rPr>
              <w:t xml:space="preserve">GB8978-1996 </w:t>
            </w:r>
          </w:p>
          <w:p>
            <w:pPr>
              <w:widowControl/>
              <w:jc w:val="left"/>
              <w:rPr>
                <w:rFonts w:cs="宋体" w:asciiTheme="minorEastAsia" w:hAnsiTheme="minorEastAsia"/>
                <w:sz w:val="24"/>
                <w:szCs w:val="24"/>
              </w:rPr>
            </w:pPr>
            <w:r>
              <w:rPr>
                <w:rFonts w:hint="eastAsia" w:cs="宋体" w:asciiTheme="minorEastAsia" w:hAnsiTheme="minorEastAsia"/>
                <w:sz w:val="24"/>
                <w:szCs w:val="24"/>
                <w:lang w:val="en-US" w:eastAsia="zh-CN"/>
              </w:rPr>
              <w:t>表4</w:t>
            </w:r>
            <w:r>
              <w:rPr>
                <w:rFonts w:hint="eastAsia" w:cs="宋体" w:asciiTheme="minorEastAsia" w:hAnsiTheme="minorEastAsia"/>
                <w:sz w:val="24"/>
                <w:szCs w:val="24"/>
              </w:rPr>
              <w:t>三级</w:t>
            </w:r>
          </w:p>
          <w:p>
            <w:pPr>
              <w:widowControl/>
              <w:jc w:val="left"/>
              <w:rPr>
                <w:rFonts w:cs="宋体" w:asciiTheme="minorEastAsia" w:hAnsiTheme="minorEastAsia"/>
                <w:sz w:val="24"/>
                <w:szCs w:val="24"/>
              </w:rPr>
            </w:pPr>
            <w:r>
              <w:rPr>
                <w:rFonts w:hint="eastAsia" w:cs="宋体" w:asciiTheme="minorEastAsia" w:hAnsiTheme="minorEastAsia"/>
                <w:sz w:val="24"/>
                <w:szCs w:val="24"/>
              </w:rPr>
              <w:t>DB33/887-2013</w:t>
            </w:r>
          </w:p>
        </w:tc>
        <w:tc>
          <w:tcPr>
            <w:tcW w:w="1037" w:type="dxa"/>
            <w:shd w:val="clear" w:color="auto" w:fill="FFFFFF"/>
            <w:vAlign w:val="center"/>
          </w:tcPr>
          <w:p>
            <w:pPr>
              <w:widowControl/>
              <w:jc w:val="center"/>
              <w:rPr>
                <w:rFonts w:cs="宋体" w:asciiTheme="minorEastAsia" w:hAnsiTheme="minorEastAsia"/>
                <w:sz w:val="24"/>
                <w:szCs w:val="24"/>
              </w:rPr>
            </w:pPr>
            <w:r>
              <w:rPr>
                <w:rFonts w:hint="eastAsia" w:cs="宋体" w:asciiTheme="minorEastAsia" w:hAnsiTheme="minorEastAsia"/>
                <w:sz w:val="24"/>
                <w:szCs w:val="24"/>
              </w:rPr>
              <w:t>委外检测</w:t>
            </w:r>
          </w:p>
        </w:tc>
        <w:tc>
          <w:tcPr>
            <w:tcW w:w="1755" w:type="dxa"/>
            <w:shd w:val="clear" w:color="auto" w:fill="FFFFFF"/>
            <w:vAlign w:val="center"/>
          </w:tcPr>
          <w:p>
            <w:pPr>
              <w:widowControl/>
              <w:jc w:val="center"/>
              <w:rPr>
                <w:rFonts w:cs="宋体" w:asciiTheme="minorEastAsia" w:hAnsiTheme="minorEastAsia"/>
                <w:sz w:val="24"/>
                <w:szCs w:val="24"/>
              </w:rPr>
            </w:pPr>
            <w:r>
              <w:rPr>
                <w:rFonts w:hint="eastAsia" w:cs="宋体" w:asciiTheme="minorEastAsia" w:hAnsiTheme="minorEastAsia"/>
                <w:sz w:val="24"/>
                <w:szCs w:val="24"/>
              </w:rPr>
              <w:t>程序、检查</w:t>
            </w:r>
          </w:p>
        </w:tc>
      </w:tr>
      <w:tr>
        <w:tblPrEx>
          <w:tblBorders>
            <w:top w:val="thinThickSmallGap" w:color="008080" w:sz="18" w:space="0"/>
            <w:left w:val="thinThickSmallGap" w:color="008080" w:sz="18" w:space="0"/>
            <w:bottom w:val="thickThinSmallGap" w:color="008080" w:sz="18" w:space="0"/>
            <w:right w:val="thickThinSmallGap" w:color="008080" w:sz="18" w:space="0"/>
            <w:insideH w:val="single" w:color="008080" w:sz="6" w:space="0"/>
            <w:insideV w:val="single" w:color="008080" w:sz="6" w:space="0"/>
          </w:tblBorders>
          <w:tblLayout w:type="fixed"/>
          <w:tblCellMar>
            <w:top w:w="0" w:type="dxa"/>
            <w:left w:w="108" w:type="dxa"/>
            <w:bottom w:w="0" w:type="dxa"/>
            <w:right w:w="108" w:type="dxa"/>
          </w:tblCellMar>
        </w:tblPrEx>
        <w:trPr>
          <w:trHeight w:val="981" w:hRule="atLeast"/>
          <w:jc w:val="center"/>
        </w:trPr>
        <w:tc>
          <w:tcPr>
            <w:tcW w:w="680" w:type="dxa"/>
            <w:vMerge w:val="continue"/>
            <w:shd w:val="clear" w:color="auto" w:fill="FFFFFF"/>
            <w:vAlign w:val="center"/>
          </w:tcPr>
          <w:p>
            <w:pPr>
              <w:widowControl/>
              <w:jc w:val="center"/>
              <w:rPr>
                <w:rFonts w:cs="宋体" w:asciiTheme="minorEastAsia" w:hAnsiTheme="minorEastAsia"/>
                <w:sz w:val="24"/>
                <w:szCs w:val="24"/>
              </w:rPr>
            </w:pPr>
          </w:p>
        </w:tc>
        <w:tc>
          <w:tcPr>
            <w:tcW w:w="1005" w:type="dxa"/>
            <w:shd w:val="clear" w:color="auto" w:fill="FFFFFF"/>
            <w:vAlign w:val="center"/>
          </w:tcPr>
          <w:p>
            <w:pPr>
              <w:widowControl/>
              <w:ind w:left="19" w:leftChars="-48" w:right="-103" w:rightChars="-49" w:hanging="120" w:hangingChars="50"/>
              <w:jc w:val="center"/>
              <w:rPr>
                <w:rFonts w:cs="宋体" w:asciiTheme="minorEastAsia" w:hAnsiTheme="minorEastAsia"/>
                <w:sz w:val="24"/>
                <w:szCs w:val="24"/>
              </w:rPr>
            </w:pPr>
            <w:r>
              <w:rPr>
                <w:rFonts w:hint="eastAsia" w:cs="宋体" w:asciiTheme="minorEastAsia" w:hAnsiTheme="minorEastAsia"/>
                <w:sz w:val="24"/>
                <w:szCs w:val="24"/>
              </w:rPr>
              <w:t>废气</w:t>
            </w:r>
          </w:p>
        </w:tc>
        <w:tc>
          <w:tcPr>
            <w:tcW w:w="1107" w:type="dxa"/>
            <w:shd w:val="clear" w:color="auto" w:fill="FFFFFF"/>
            <w:vAlign w:val="center"/>
          </w:tcPr>
          <w:p>
            <w:pPr>
              <w:widowControl/>
              <w:ind w:left="21" w:leftChars="-53" w:right="-80" w:rightChars="-38" w:hanging="132" w:hangingChars="55"/>
              <w:jc w:val="center"/>
              <w:rPr>
                <w:rFonts w:cs="宋体" w:asciiTheme="minorEastAsia" w:hAnsiTheme="minorEastAsia"/>
                <w:sz w:val="24"/>
                <w:szCs w:val="24"/>
              </w:rPr>
            </w:pPr>
            <w:r>
              <w:rPr>
                <w:rFonts w:hint="eastAsia" w:cs="宋体" w:asciiTheme="minorEastAsia" w:hAnsiTheme="minorEastAsia"/>
                <w:sz w:val="24"/>
                <w:szCs w:val="24"/>
              </w:rPr>
              <w:t>大气污染</w:t>
            </w:r>
          </w:p>
        </w:tc>
        <w:tc>
          <w:tcPr>
            <w:tcW w:w="1776" w:type="dxa"/>
            <w:shd w:val="clear" w:color="auto" w:fill="FFFFFF"/>
            <w:vAlign w:val="center"/>
          </w:tcPr>
          <w:p>
            <w:pPr>
              <w:widowControl/>
              <w:jc w:val="center"/>
              <w:rPr>
                <w:rFonts w:cs="宋体" w:asciiTheme="minorEastAsia" w:hAnsiTheme="minorEastAsia"/>
                <w:sz w:val="24"/>
                <w:szCs w:val="24"/>
              </w:rPr>
            </w:pPr>
            <w:r>
              <w:rPr>
                <w:rFonts w:hint="eastAsia" w:cs="宋体" w:asciiTheme="minorEastAsia" w:hAnsiTheme="minorEastAsia"/>
                <w:sz w:val="24"/>
                <w:szCs w:val="24"/>
              </w:rPr>
              <w:t>GB16297-</w:t>
            </w:r>
            <w:r>
              <w:rPr>
                <w:rFonts w:hint="eastAsia" w:cs="宋体" w:asciiTheme="minorEastAsia" w:hAnsiTheme="minorEastAsia"/>
                <w:sz w:val="24"/>
                <w:szCs w:val="24"/>
                <w:lang w:val="en-US" w:eastAsia="zh-CN"/>
              </w:rPr>
              <w:t>19</w:t>
            </w:r>
            <w:r>
              <w:rPr>
                <w:rFonts w:hint="eastAsia" w:cs="宋体" w:asciiTheme="minorEastAsia" w:hAnsiTheme="minorEastAsia"/>
                <w:sz w:val="24"/>
                <w:szCs w:val="24"/>
              </w:rPr>
              <w:t>96</w:t>
            </w:r>
          </w:p>
        </w:tc>
        <w:tc>
          <w:tcPr>
            <w:tcW w:w="1776" w:type="dxa"/>
            <w:shd w:val="clear" w:color="auto" w:fill="FFFFFF"/>
            <w:vAlign w:val="center"/>
          </w:tcPr>
          <w:p>
            <w:pPr>
              <w:widowControl/>
              <w:jc w:val="center"/>
              <w:rPr>
                <w:rFonts w:cs="宋体" w:asciiTheme="minorEastAsia" w:hAnsiTheme="minorEastAsia"/>
                <w:sz w:val="24"/>
                <w:szCs w:val="24"/>
              </w:rPr>
            </w:pPr>
            <w:r>
              <w:rPr>
                <w:rFonts w:hint="eastAsia" w:cs="宋体" w:asciiTheme="minorEastAsia" w:hAnsiTheme="minorEastAsia"/>
                <w:sz w:val="24"/>
                <w:szCs w:val="24"/>
              </w:rPr>
              <w:t>GB16297-1996</w:t>
            </w:r>
          </w:p>
          <w:p>
            <w:pPr>
              <w:widowControl/>
              <w:jc w:val="center"/>
              <w:rPr>
                <w:rFonts w:hint="eastAsia" w:cs="宋体" w:asciiTheme="minorEastAsia" w:hAnsiTheme="minorEastAsia" w:eastAsiaTheme="minorEastAsia"/>
                <w:sz w:val="24"/>
                <w:szCs w:val="24"/>
                <w:lang w:eastAsia="zh-CN"/>
              </w:rPr>
            </w:pPr>
            <w:r>
              <w:rPr>
                <w:rFonts w:hint="eastAsia" w:cs="宋体" w:asciiTheme="minorEastAsia" w:hAnsiTheme="minorEastAsia"/>
                <w:sz w:val="24"/>
                <w:szCs w:val="24"/>
                <w:lang w:val="en-US" w:eastAsia="zh-CN"/>
              </w:rPr>
              <w:t>表2</w:t>
            </w:r>
          </w:p>
        </w:tc>
        <w:tc>
          <w:tcPr>
            <w:tcW w:w="1037" w:type="dxa"/>
            <w:shd w:val="clear" w:color="auto" w:fill="FFFFFF"/>
            <w:vAlign w:val="center"/>
          </w:tcPr>
          <w:p>
            <w:pPr>
              <w:widowControl/>
              <w:jc w:val="center"/>
              <w:rPr>
                <w:rFonts w:cs="宋体" w:asciiTheme="minorEastAsia" w:hAnsiTheme="minorEastAsia"/>
                <w:sz w:val="24"/>
                <w:szCs w:val="24"/>
              </w:rPr>
            </w:pPr>
            <w:r>
              <w:rPr>
                <w:rFonts w:hint="eastAsia" w:cs="宋体" w:asciiTheme="minorEastAsia" w:hAnsiTheme="minorEastAsia"/>
                <w:sz w:val="24"/>
                <w:szCs w:val="24"/>
              </w:rPr>
              <w:t>委外检测</w:t>
            </w:r>
          </w:p>
        </w:tc>
        <w:tc>
          <w:tcPr>
            <w:tcW w:w="1755" w:type="dxa"/>
            <w:shd w:val="clear" w:color="auto" w:fill="FFFFFF"/>
            <w:vAlign w:val="center"/>
          </w:tcPr>
          <w:p>
            <w:pPr>
              <w:widowControl/>
              <w:jc w:val="center"/>
              <w:rPr>
                <w:rFonts w:cs="宋体" w:asciiTheme="minorEastAsia" w:hAnsiTheme="minorEastAsia"/>
                <w:sz w:val="24"/>
                <w:szCs w:val="24"/>
              </w:rPr>
            </w:pPr>
            <w:r>
              <w:rPr>
                <w:rFonts w:hint="eastAsia" w:cs="宋体" w:asciiTheme="minorEastAsia" w:hAnsiTheme="minorEastAsia"/>
                <w:sz w:val="24"/>
                <w:szCs w:val="24"/>
              </w:rPr>
              <w:t>程序、管理方案、检查</w:t>
            </w:r>
          </w:p>
        </w:tc>
      </w:tr>
      <w:tr>
        <w:tblPrEx>
          <w:tblBorders>
            <w:top w:val="thinThickSmallGap" w:color="008080" w:sz="18" w:space="0"/>
            <w:left w:val="thinThickSmallGap" w:color="008080" w:sz="18" w:space="0"/>
            <w:bottom w:val="thickThinSmallGap" w:color="008080" w:sz="18" w:space="0"/>
            <w:right w:val="thickThinSmallGap" w:color="008080" w:sz="18" w:space="0"/>
            <w:insideH w:val="single" w:color="008080" w:sz="6" w:space="0"/>
            <w:insideV w:val="single" w:color="008080" w:sz="6" w:space="0"/>
          </w:tblBorders>
          <w:tblLayout w:type="fixed"/>
          <w:tblCellMar>
            <w:top w:w="0" w:type="dxa"/>
            <w:left w:w="108" w:type="dxa"/>
            <w:bottom w:w="0" w:type="dxa"/>
            <w:right w:w="108" w:type="dxa"/>
          </w:tblCellMar>
        </w:tblPrEx>
        <w:trPr>
          <w:trHeight w:val="981" w:hRule="atLeast"/>
          <w:jc w:val="center"/>
        </w:trPr>
        <w:tc>
          <w:tcPr>
            <w:tcW w:w="680" w:type="dxa"/>
            <w:vMerge w:val="continue"/>
            <w:shd w:val="clear" w:color="auto" w:fill="FFFFFF"/>
            <w:vAlign w:val="center"/>
          </w:tcPr>
          <w:p>
            <w:pPr>
              <w:widowControl/>
              <w:jc w:val="center"/>
              <w:rPr>
                <w:rFonts w:cs="宋体" w:asciiTheme="minorEastAsia" w:hAnsiTheme="minorEastAsia"/>
                <w:sz w:val="24"/>
                <w:szCs w:val="24"/>
              </w:rPr>
            </w:pPr>
          </w:p>
        </w:tc>
        <w:tc>
          <w:tcPr>
            <w:tcW w:w="1005" w:type="dxa"/>
            <w:shd w:val="clear" w:color="auto" w:fill="FFFFFF"/>
            <w:vAlign w:val="center"/>
          </w:tcPr>
          <w:p>
            <w:pPr>
              <w:widowControl/>
              <w:ind w:left="19" w:leftChars="-48" w:right="-103" w:rightChars="-49" w:hanging="120" w:hangingChars="50"/>
              <w:jc w:val="center"/>
              <w:rPr>
                <w:rFonts w:cs="宋体" w:asciiTheme="minorEastAsia" w:hAnsiTheme="minorEastAsia"/>
                <w:sz w:val="24"/>
                <w:szCs w:val="24"/>
              </w:rPr>
            </w:pPr>
            <w:r>
              <w:rPr>
                <w:rFonts w:hint="eastAsia" w:cs="宋体" w:asciiTheme="minorEastAsia" w:hAnsiTheme="minorEastAsia"/>
                <w:sz w:val="24"/>
                <w:szCs w:val="24"/>
              </w:rPr>
              <w:t>噪声</w:t>
            </w:r>
          </w:p>
        </w:tc>
        <w:tc>
          <w:tcPr>
            <w:tcW w:w="1107" w:type="dxa"/>
            <w:shd w:val="clear" w:color="auto" w:fill="FFFFFF"/>
            <w:vAlign w:val="center"/>
          </w:tcPr>
          <w:p>
            <w:pPr>
              <w:widowControl/>
              <w:ind w:left="21" w:leftChars="-53" w:right="-80" w:rightChars="-38" w:hanging="132" w:hangingChars="55"/>
              <w:jc w:val="center"/>
              <w:rPr>
                <w:rFonts w:cs="宋体" w:asciiTheme="minorEastAsia" w:hAnsiTheme="minorEastAsia"/>
                <w:sz w:val="24"/>
                <w:szCs w:val="24"/>
              </w:rPr>
            </w:pPr>
            <w:r>
              <w:rPr>
                <w:rFonts w:hint="eastAsia" w:cs="宋体" w:asciiTheme="minorEastAsia" w:hAnsiTheme="minorEastAsia"/>
                <w:sz w:val="24"/>
                <w:szCs w:val="24"/>
              </w:rPr>
              <w:t>干扰居民</w:t>
            </w:r>
          </w:p>
          <w:p>
            <w:pPr>
              <w:widowControl/>
              <w:ind w:left="21" w:leftChars="-53" w:right="-80" w:rightChars="-38" w:hanging="132" w:hangingChars="55"/>
              <w:jc w:val="center"/>
              <w:rPr>
                <w:rFonts w:cs="宋体" w:asciiTheme="minorEastAsia" w:hAnsiTheme="minorEastAsia"/>
                <w:sz w:val="24"/>
                <w:szCs w:val="24"/>
              </w:rPr>
            </w:pPr>
            <w:r>
              <w:rPr>
                <w:rFonts w:hint="eastAsia" w:cs="宋体" w:asciiTheme="minorEastAsia" w:hAnsiTheme="minorEastAsia"/>
                <w:sz w:val="24"/>
                <w:szCs w:val="24"/>
              </w:rPr>
              <w:t>生活</w:t>
            </w:r>
          </w:p>
        </w:tc>
        <w:tc>
          <w:tcPr>
            <w:tcW w:w="1776" w:type="dxa"/>
            <w:shd w:val="clear" w:color="auto" w:fill="FFFFFF"/>
            <w:vAlign w:val="center"/>
          </w:tcPr>
          <w:p>
            <w:pPr>
              <w:widowControl/>
              <w:jc w:val="center"/>
              <w:rPr>
                <w:rFonts w:cs="宋体" w:asciiTheme="minorEastAsia" w:hAnsiTheme="minorEastAsia"/>
                <w:sz w:val="24"/>
                <w:szCs w:val="24"/>
              </w:rPr>
            </w:pPr>
            <w:r>
              <w:rPr>
                <w:rFonts w:cs="宋体" w:asciiTheme="minorEastAsia" w:hAnsiTheme="minorEastAsia"/>
                <w:sz w:val="24"/>
                <w:szCs w:val="24"/>
              </w:rPr>
              <w:t>G</w:t>
            </w:r>
            <w:r>
              <w:rPr>
                <w:rFonts w:hint="eastAsia" w:cs="宋体" w:asciiTheme="minorEastAsia" w:hAnsiTheme="minorEastAsia"/>
                <w:sz w:val="24"/>
                <w:szCs w:val="24"/>
              </w:rPr>
              <w:t>B12348-2008</w:t>
            </w:r>
          </w:p>
        </w:tc>
        <w:tc>
          <w:tcPr>
            <w:tcW w:w="1776" w:type="dxa"/>
            <w:shd w:val="clear" w:color="auto" w:fill="FFFFFF"/>
            <w:vAlign w:val="center"/>
          </w:tcPr>
          <w:p>
            <w:pPr>
              <w:widowControl/>
              <w:jc w:val="center"/>
              <w:rPr>
                <w:rFonts w:cs="宋体" w:asciiTheme="minorEastAsia" w:hAnsiTheme="minorEastAsia"/>
                <w:sz w:val="24"/>
                <w:szCs w:val="24"/>
              </w:rPr>
            </w:pPr>
            <w:r>
              <w:rPr>
                <w:rFonts w:cs="宋体" w:asciiTheme="minorEastAsia" w:hAnsiTheme="minorEastAsia"/>
                <w:sz w:val="24"/>
                <w:szCs w:val="24"/>
              </w:rPr>
              <w:t>G</w:t>
            </w:r>
            <w:r>
              <w:rPr>
                <w:rFonts w:hint="eastAsia" w:cs="宋体" w:asciiTheme="minorEastAsia" w:hAnsiTheme="minorEastAsia"/>
                <w:sz w:val="24"/>
                <w:szCs w:val="24"/>
              </w:rPr>
              <w:t>B12348-2008</w:t>
            </w:r>
          </w:p>
          <w:p>
            <w:pPr>
              <w:widowControl/>
              <w:jc w:val="center"/>
              <w:rPr>
                <w:rFonts w:cs="宋体" w:asciiTheme="minorEastAsia" w:hAnsiTheme="minorEastAsia"/>
                <w:sz w:val="24"/>
                <w:szCs w:val="24"/>
              </w:rPr>
            </w:pPr>
            <w:r>
              <w:rPr>
                <w:rFonts w:hint="eastAsia" w:cs="宋体" w:asciiTheme="minorEastAsia" w:hAnsiTheme="minorEastAsia"/>
                <w:sz w:val="24"/>
                <w:szCs w:val="24"/>
                <w:lang w:val="en-US" w:eastAsia="zh-CN"/>
              </w:rPr>
              <w:t>表1</w:t>
            </w:r>
            <w:r>
              <w:rPr>
                <w:rFonts w:hint="eastAsia" w:cs="宋体" w:asciiTheme="minorEastAsia" w:hAnsiTheme="minorEastAsia"/>
                <w:sz w:val="24"/>
                <w:szCs w:val="24"/>
              </w:rPr>
              <w:t>三类</w:t>
            </w:r>
          </w:p>
        </w:tc>
        <w:tc>
          <w:tcPr>
            <w:tcW w:w="1037" w:type="dxa"/>
            <w:shd w:val="clear" w:color="auto" w:fill="FFFFFF"/>
            <w:vAlign w:val="center"/>
          </w:tcPr>
          <w:p>
            <w:pPr>
              <w:widowControl/>
              <w:jc w:val="center"/>
              <w:rPr>
                <w:rFonts w:cs="宋体" w:asciiTheme="minorEastAsia" w:hAnsiTheme="minorEastAsia"/>
                <w:sz w:val="24"/>
                <w:szCs w:val="24"/>
              </w:rPr>
            </w:pPr>
            <w:r>
              <w:rPr>
                <w:rFonts w:hint="eastAsia" w:cs="宋体" w:asciiTheme="minorEastAsia" w:hAnsiTheme="minorEastAsia"/>
                <w:sz w:val="24"/>
                <w:szCs w:val="24"/>
              </w:rPr>
              <w:t>委外检测</w:t>
            </w:r>
          </w:p>
        </w:tc>
        <w:tc>
          <w:tcPr>
            <w:tcW w:w="1755" w:type="dxa"/>
            <w:shd w:val="clear" w:color="auto" w:fill="FFFFFF"/>
            <w:vAlign w:val="center"/>
          </w:tcPr>
          <w:p>
            <w:pPr>
              <w:widowControl/>
              <w:jc w:val="center"/>
              <w:rPr>
                <w:rFonts w:cs="宋体" w:asciiTheme="minorEastAsia" w:hAnsiTheme="minorEastAsia"/>
                <w:sz w:val="24"/>
                <w:szCs w:val="24"/>
              </w:rPr>
            </w:pPr>
            <w:r>
              <w:rPr>
                <w:rFonts w:hint="eastAsia" w:cs="宋体" w:asciiTheme="minorEastAsia" w:hAnsiTheme="minorEastAsia"/>
                <w:sz w:val="24"/>
                <w:szCs w:val="24"/>
              </w:rPr>
              <w:t>程序、管理方案、检查</w:t>
            </w:r>
          </w:p>
        </w:tc>
      </w:tr>
      <w:tr>
        <w:tblPrEx>
          <w:tblBorders>
            <w:top w:val="thinThickSmallGap" w:color="008080" w:sz="18" w:space="0"/>
            <w:left w:val="thinThickSmallGap" w:color="008080" w:sz="18" w:space="0"/>
            <w:bottom w:val="thickThinSmallGap" w:color="008080" w:sz="18" w:space="0"/>
            <w:right w:val="thickThinSmallGap" w:color="008080" w:sz="18" w:space="0"/>
            <w:insideH w:val="single" w:color="008080" w:sz="6" w:space="0"/>
            <w:insideV w:val="single" w:color="008080" w:sz="6" w:space="0"/>
          </w:tblBorders>
          <w:tblLayout w:type="fixed"/>
          <w:tblCellMar>
            <w:top w:w="0" w:type="dxa"/>
            <w:left w:w="108" w:type="dxa"/>
            <w:bottom w:w="0" w:type="dxa"/>
            <w:right w:w="108" w:type="dxa"/>
          </w:tblCellMar>
        </w:tblPrEx>
        <w:trPr>
          <w:trHeight w:val="1250" w:hRule="atLeast"/>
          <w:jc w:val="center"/>
        </w:trPr>
        <w:tc>
          <w:tcPr>
            <w:tcW w:w="680" w:type="dxa"/>
            <w:shd w:val="clear" w:color="auto" w:fill="FFFFFF"/>
            <w:vAlign w:val="center"/>
          </w:tcPr>
          <w:p>
            <w:pPr>
              <w:widowControl/>
              <w:jc w:val="center"/>
              <w:rPr>
                <w:rFonts w:cs="宋体" w:asciiTheme="minorEastAsia" w:hAnsiTheme="minorEastAsia"/>
                <w:sz w:val="24"/>
                <w:szCs w:val="24"/>
              </w:rPr>
            </w:pPr>
            <w:r>
              <w:rPr>
                <w:rFonts w:hint="eastAsia" w:cs="宋体" w:asciiTheme="minorEastAsia" w:hAnsiTheme="minorEastAsia"/>
                <w:sz w:val="24"/>
                <w:szCs w:val="24"/>
              </w:rPr>
              <w:t>能源资源利用</w:t>
            </w:r>
          </w:p>
        </w:tc>
        <w:tc>
          <w:tcPr>
            <w:tcW w:w="1005" w:type="dxa"/>
            <w:shd w:val="clear" w:color="auto" w:fill="FFFFFF"/>
            <w:vAlign w:val="center"/>
          </w:tcPr>
          <w:p>
            <w:pPr>
              <w:widowControl/>
              <w:ind w:left="19" w:leftChars="-48" w:right="-103" w:rightChars="-49" w:hanging="120" w:hangingChars="50"/>
              <w:jc w:val="center"/>
              <w:rPr>
                <w:rFonts w:cs="宋体" w:asciiTheme="minorEastAsia" w:hAnsiTheme="minorEastAsia"/>
                <w:sz w:val="24"/>
                <w:szCs w:val="24"/>
              </w:rPr>
            </w:pPr>
            <w:r>
              <w:rPr>
                <w:rFonts w:hint="eastAsia" w:cs="宋体" w:asciiTheme="minorEastAsia" w:hAnsiTheme="minorEastAsia"/>
                <w:sz w:val="24"/>
                <w:szCs w:val="24"/>
              </w:rPr>
              <w:t>用电</w:t>
            </w:r>
          </w:p>
        </w:tc>
        <w:tc>
          <w:tcPr>
            <w:tcW w:w="1107" w:type="dxa"/>
            <w:shd w:val="clear" w:color="auto" w:fill="FFFFFF"/>
            <w:vAlign w:val="center"/>
          </w:tcPr>
          <w:p>
            <w:pPr>
              <w:widowControl/>
              <w:ind w:left="21" w:leftChars="-53" w:right="-80" w:rightChars="-38" w:hanging="132" w:hangingChars="55"/>
              <w:jc w:val="center"/>
              <w:rPr>
                <w:rFonts w:cs="宋体" w:asciiTheme="minorEastAsia" w:hAnsiTheme="minorEastAsia"/>
                <w:sz w:val="24"/>
                <w:szCs w:val="24"/>
              </w:rPr>
            </w:pPr>
            <w:r>
              <w:rPr>
                <w:rFonts w:hint="eastAsia" w:cs="宋体" w:asciiTheme="minorEastAsia" w:hAnsiTheme="minorEastAsia"/>
                <w:sz w:val="24"/>
                <w:szCs w:val="24"/>
              </w:rPr>
              <w:t>增加成本、造成浪费</w:t>
            </w:r>
          </w:p>
        </w:tc>
        <w:tc>
          <w:tcPr>
            <w:tcW w:w="1776" w:type="dxa"/>
            <w:shd w:val="clear" w:color="auto" w:fill="FFFFFF"/>
            <w:vAlign w:val="center"/>
          </w:tcPr>
          <w:p>
            <w:pPr>
              <w:widowControl/>
              <w:jc w:val="center"/>
              <w:rPr>
                <w:rFonts w:cs="宋体" w:asciiTheme="minorEastAsia" w:hAnsiTheme="minorEastAsia"/>
                <w:sz w:val="24"/>
                <w:szCs w:val="24"/>
              </w:rPr>
            </w:pPr>
            <w:r>
              <w:rPr>
                <w:rFonts w:cs="宋体" w:asciiTheme="minorEastAsia" w:hAnsiTheme="minorEastAsia"/>
                <w:sz w:val="24"/>
                <w:szCs w:val="24"/>
              </w:rPr>
              <w:t>/</w:t>
            </w:r>
          </w:p>
        </w:tc>
        <w:tc>
          <w:tcPr>
            <w:tcW w:w="1776" w:type="dxa"/>
            <w:shd w:val="clear" w:color="auto" w:fill="FFFFFF"/>
            <w:vAlign w:val="center"/>
          </w:tcPr>
          <w:p>
            <w:pPr>
              <w:widowControl/>
              <w:ind w:left="20" w:leftChars="-43" w:hanging="110" w:hangingChars="46"/>
              <w:jc w:val="left"/>
              <w:rPr>
                <w:rFonts w:cs="宋体" w:asciiTheme="minorEastAsia" w:hAnsiTheme="minorEastAsia"/>
                <w:sz w:val="24"/>
                <w:szCs w:val="24"/>
                <w:highlight w:val="magenta"/>
              </w:rPr>
            </w:pPr>
            <w:r>
              <w:rPr>
                <w:rFonts w:hint="eastAsia" w:cs="宋体" w:asciiTheme="minorEastAsia" w:hAnsiTheme="minorEastAsia"/>
                <w:sz w:val="24"/>
                <w:szCs w:val="24"/>
              </w:rPr>
              <w:t>万元产值同比下降1.0%</w:t>
            </w:r>
          </w:p>
        </w:tc>
        <w:tc>
          <w:tcPr>
            <w:tcW w:w="1037" w:type="dxa"/>
            <w:shd w:val="clear" w:color="auto" w:fill="FFFFFF"/>
            <w:vAlign w:val="center"/>
          </w:tcPr>
          <w:p>
            <w:pPr>
              <w:widowControl/>
              <w:jc w:val="center"/>
              <w:rPr>
                <w:rFonts w:cs="宋体" w:asciiTheme="minorEastAsia" w:hAnsiTheme="minorEastAsia"/>
                <w:sz w:val="24"/>
                <w:szCs w:val="24"/>
              </w:rPr>
            </w:pPr>
            <w:r>
              <w:rPr>
                <w:rFonts w:hint="eastAsia" w:cs="宋体" w:asciiTheme="minorEastAsia" w:hAnsiTheme="minorEastAsia"/>
                <w:sz w:val="24"/>
                <w:szCs w:val="24"/>
              </w:rPr>
              <w:t>统计与分析</w:t>
            </w:r>
          </w:p>
        </w:tc>
        <w:tc>
          <w:tcPr>
            <w:tcW w:w="1755" w:type="dxa"/>
            <w:shd w:val="clear" w:color="auto" w:fill="FFFFFF"/>
            <w:vAlign w:val="center"/>
          </w:tcPr>
          <w:p>
            <w:pPr>
              <w:widowControl/>
              <w:jc w:val="center"/>
              <w:rPr>
                <w:rFonts w:cs="宋体" w:asciiTheme="minorEastAsia" w:hAnsiTheme="minorEastAsia"/>
                <w:sz w:val="24"/>
                <w:szCs w:val="24"/>
              </w:rPr>
            </w:pPr>
            <w:r>
              <w:rPr>
                <w:rFonts w:hint="eastAsia" w:cs="宋体" w:asciiTheme="minorEastAsia" w:hAnsiTheme="minorEastAsia"/>
                <w:sz w:val="24"/>
                <w:szCs w:val="24"/>
              </w:rPr>
              <w:t>程序、管理方案、检查</w:t>
            </w:r>
          </w:p>
        </w:tc>
      </w:tr>
      <w:tr>
        <w:tblPrEx>
          <w:tblBorders>
            <w:top w:val="thinThickSmallGap" w:color="008080" w:sz="18" w:space="0"/>
            <w:left w:val="thinThickSmallGap" w:color="008080" w:sz="18" w:space="0"/>
            <w:bottom w:val="thickThinSmallGap" w:color="008080" w:sz="18" w:space="0"/>
            <w:right w:val="thickThinSmallGap" w:color="008080" w:sz="18" w:space="0"/>
            <w:insideH w:val="single" w:color="008080" w:sz="6" w:space="0"/>
            <w:insideV w:val="single" w:color="008080" w:sz="6" w:space="0"/>
          </w:tblBorders>
          <w:tblLayout w:type="fixed"/>
          <w:tblCellMar>
            <w:top w:w="0" w:type="dxa"/>
            <w:left w:w="108" w:type="dxa"/>
            <w:bottom w:w="0" w:type="dxa"/>
            <w:right w:w="108" w:type="dxa"/>
          </w:tblCellMar>
        </w:tblPrEx>
        <w:trPr>
          <w:trHeight w:val="1127" w:hRule="atLeast"/>
          <w:jc w:val="center"/>
        </w:trPr>
        <w:tc>
          <w:tcPr>
            <w:tcW w:w="680" w:type="dxa"/>
            <w:shd w:val="clear" w:color="auto" w:fill="FFFFFF"/>
            <w:vAlign w:val="center"/>
          </w:tcPr>
          <w:p>
            <w:pPr>
              <w:widowControl/>
              <w:jc w:val="center"/>
              <w:rPr>
                <w:rFonts w:cs="宋体" w:asciiTheme="minorEastAsia" w:hAnsiTheme="minorEastAsia"/>
                <w:sz w:val="24"/>
                <w:szCs w:val="24"/>
              </w:rPr>
            </w:pPr>
            <w:r>
              <w:rPr>
                <w:rFonts w:hint="eastAsia" w:cs="宋体" w:asciiTheme="minorEastAsia" w:hAnsiTheme="minorEastAsia"/>
                <w:sz w:val="24"/>
                <w:szCs w:val="24"/>
              </w:rPr>
              <w:t>产品安全</w:t>
            </w:r>
          </w:p>
        </w:tc>
        <w:tc>
          <w:tcPr>
            <w:tcW w:w="1005" w:type="dxa"/>
            <w:shd w:val="clear" w:color="auto" w:fill="FFFFFF"/>
            <w:vAlign w:val="center"/>
          </w:tcPr>
          <w:p>
            <w:pPr>
              <w:widowControl/>
              <w:ind w:left="19" w:leftChars="-48" w:right="-103" w:rightChars="-49" w:hanging="120" w:hangingChars="50"/>
              <w:jc w:val="center"/>
              <w:rPr>
                <w:rFonts w:cs="宋体" w:asciiTheme="minorEastAsia" w:hAnsiTheme="minorEastAsia"/>
                <w:sz w:val="24"/>
                <w:szCs w:val="24"/>
              </w:rPr>
            </w:pPr>
            <w:r>
              <w:rPr>
                <w:rFonts w:hint="eastAsia" w:cs="宋体" w:asciiTheme="minorEastAsia" w:hAnsiTheme="minorEastAsia"/>
                <w:sz w:val="24"/>
                <w:szCs w:val="24"/>
              </w:rPr>
              <w:t>电气安全</w:t>
            </w:r>
          </w:p>
        </w:tc>
        <w:tc>
          <w:tcPr>
            <w:tcW w:w="1107" w:type="dxa"/>
            <w:shd w:val="clear" w:color="auto" w:fill="FFFFFF"/>
            <w:vAlign w:val="center"/>
          </w:tcPr>
          <w:p>
            <w:pPr>
              <w:widowControl/>
              <w:ind w:left="21" w:leftChars="-53" w:right="-80" w:rightChars="-38" w:hanging="132" w:hangingChars="55"/>
              <w:jc w:val="center"/>
              <w:rPr>
                <w:rFonts w:cs="宋体" w:asciiTheme="minorEastAsia" w:hAnsiTheme="minorEastAsia"/>
                <w:sz w:val="24"/>
                <w:szCs w:val="24"/>
              </w:rPr>
            </w:pPr>
            <w:r>
              <w:rPr>
                <w:rFonts w:hint="eastAsia" w:cs="宋体" w:asciiTheme="minorEastAsia" w:hAnsiTheme="minorEastAsia"/>
                <w:sz w:val="24"/>
                <w:szCs w:val="24"/>
              </w:rPr>
              <w:t>触电</w:t>
            </w:r>
          </w:p>
        </w:tc>
        <w:tc>
          <w:tcPr>
            <w:tcW w:w="1776" w:type="dxa"/>
            <w:shd w:val="clear" w:color="auto" w:fill="FFFFFF"/>
            <w:vAlign w:val="center"/>
          </w:tcPr>
          <w:p>
            <w:pPr>
              <w:widowControl/>
              <w:jc w:val="center"/>
              <w:rPr>
                <w:rFonts w:cs="宋体" w:asciiTheme="minorEastAsia" w:hAnsiTheme="minorEastAsia"/>
                <w:sz w:val="24"/>
                <w:szCs w:val="24"/>
              </w:rPr>
            </w:pPr>
            <w:r>
              <w:rPr>
                <w:rFonts w:hint="eastAsia" w:cs="宋体" w:asciiTheme="minorEastAsia" w:hAnsiTheme="minorEastAsia"/>
                <w:sz w:val="24"/>
                <w:szCs w:val="24"/>
              </w:rPr>
              <w:t>GB17945-2010</w:t>
            </w:r>
          </w:p>
        </w:tc>
        <w:tc>
          <w:tcPr>
            <w:tcW w:w="1776" w:type="dxa"/>
            <w:shd w:val="clear" w:color="auto" w:fill="FFFFFF"/>
            <w:vAlign w:val="center"/>
          </w:tcPr>
          <w:p>
            <w:pPr>
              <w:widowControl/>
              <w:jc w:val="center"/>
              <w:rPr>
                <w:rFonts w:cs="宋体" w:asciiTheme="minorEastAsia" w:hAnsiTheme="minorEastAsia"/>
                <w:sz w:val="24"/>
                <w:szCs w:val="24"/>
              </w:rPr>
            </w:pPr>
            <w:r>
              <w:rPr>
                <w:rFonts w:hint="eastAsia" w:cs="宋体" w:asciiTheme="minorEastAsia" w:hAnsiTheme="minorEastAsia"/>
                <w:sz w:val="24"/>
                <w:szCs w:val="24"/>
              </w:rPr>
              <w:t>高于标准</w:t>
            </w:r>
          </w:p>
        </w:tc>
        <w:tc>
          <w:tcPr>
            <w:tcW w:w="1037" w:type="dxa"/>
            <w:shd w:val="clear" w:color="auto" w:fill="FFFFFF"/>
            <w:vAlign w:val="center"/>
          </w:tcPr>
          <w:p>
            <w:pPr>
              <w:widowControl/>
              <w:jc w:val="center"/>
              <w:rPr>
                <w:rFonts w:cs="宋体" w:asciiTheme="minorEastAsia" w:hAnsiTheme="minorEastAsia"/>
                <w:sz w:val="24"/>
                <w:szCs w:val="24"/>
              </w:rPr>
            </w:pPr>
            <w:r>
              <w:rPr>
                <w:rFonts w:hint="eastAsia" w:cs="宋体" w:asciiTheme="minorEastAsia" w:hAnsiTheme="minorEastAsia"/>
                <w:sz w:val="24"/>
                <w:szCs w:val="24"/>
              </w:rPr>
              <w:t>内部检测</w:t>
            </w:r>
          </w:p>
        </w:tc>
        <w:tc>
          <w:tcPr>
            <w:tcW w:w="1755" w:type="dxa"/>
            <w:shd w:val="clear" w:color="auto" w:fill="FFFFFF"/>
            <w:vAlign w:val="center"/>
          </w:tcPr>
          <w:p>
            <w:pPr>
              <w:widowControl/>
              <w:ind w:left="-107" w:leftChars="-51" w:right="-143" w:rightChars="-68" w:firstLine="2" w:firstLineChars="1"/>
              <w:jc w:val="center"/>
              <w:rPr>
                <w:rFonts w:cs="宋体" w:asciiTheme="minorEastAsia" w:hAnsiTheme="minorEastAsia"/>
                <w:sz w:val="24"/>
                <w:szCs w:val="24"/>
              </w:rPr>
            </w:pPr>
            <w:r>
              <w:rPr>
                <w:rFonts w:hint="eastAsia" w:cs="宋体" w:asciiTheme="minorEastAsia" w:hAnsiTheme="minorEastAsia"/>
                <w:sz w:val="24"/>
                <w:szCs w:val="24"/>
              </w:rPr>
              <w:t>技术文件</w:t>
            </w:r>
          </w:p>
          <w:p>
            <w:pPr>
              <w:widowControl/>
              <w:ind w:left="-107" w:leftChars="-51" w:right="-143" w:rightChars="-68" w:firstLine="2" w:firstLineChars="1"/>
              <w:jc w:val="center"/>
              <w:rPr>
                <w:rFonts w:cs="宋体" w:asciiTheme="minorEastAsia" w:hAnsiTheme="minorEastAsia"/>
                <w:sz w:val="24"/>
                <w:szCs w:val="24"/>
              </w:rPr>
            </w:pPr>
            <w:r>
              <w:rPr>
                <w:rFonts w:hint="eastAsia" w:cs="宋体" w:asciiTheme="minorEastAsia" w:hAnsiTheme="minorEastAsia"/>
                <w:sz w:val="24"/>
                <w:szCs w:val="24"/>
              </w:rPr>
              <w:t>检验试验</w:t>
            </w:r>
          </w:p>
        </w:tc>
      </w:tr>
      <w:tr>
        <w:tblPrEx>
          <w:tblBorders>
            <w:top w:val="thinThickSmallGap" w:color="008080" w:sz="18" w:space="0"/>
            <w:left w:val="thinThickSmallGap" w:color="008080" w:sz="18" w:space="0"/>
            <w:bottom w:val="thickThinSmallGap" w:color="008080" w:sz="18" w:space="0"/>
            <w:right w:val="thickThinSmallGap" w:color="008080" w:sz="18" w:space="0"/>
            <w:insideH w:val="single" w:color="008080" w:sz="6" w:space="0"/>
            <w:insideV w:val="single" w:color="008080" w:sz="6" w:space="0"/>
          </w:tblBorders>
          <w:tblLayout w:type="fixed"/>
          <w:tblCellMar>
            <w:top w:w="0" w:type="dxa"/>
            <w:left w:w="108" w:type="dxa"/>
            <w:bottom w:w="0" w:type="dxa"/>
            <w:right w:w="108" w:type="dxa"/>
          </w:tblCellMar>
        </w:tblPrEx>
        <w:trPr>
          <w:trHeight w:val="1398" w:hRule="atLeast"/>
          <w:jc w:val="center"/>
        </w:trPr>
        <w:tc>
          <w:tcPr>
            <w:tcW w:w="680" w:type="dxa"/>
            <w:shd w:val="clear" w:color="auto" w:fill="FFFFFF"/>
            <w:vAlign w:val="center"/>
          </w:tcPr>
          <w:p>
            <w:pPr>
              <w:widowControl/>
              <w:jc w:val="center"/>
              <w:rPr>
                <w:rFonts w:cs="宋体" w:asciiTheme="minorEastAsia" w:hAnsiTheme="minorEastAsia"/>
                <w:sz w:val="24"/>
                <w:szCs w:val="24"/>
              </w:rPr>
            </w:pPr>
            <w:r>
              <w:rPr>
                <w:rFonts w:hint="eastAsia" w:cs="宋体" w:asciiTheme="minorEastAsia" w:hAnsiTheme="minorEastAsia"/>
                <w:sz w:val="24"/>
                <w:szCs w:val="24"/>
              </w:rPr>
              <w:t>安全生产</w:t>
            </w:r>
          </w:p>
        </w:tc>
        <w:tc>
          <w:tcPr>
            <w:tcW w:w="1005" w:type="dxa"/>
            <w:shd w:val="clear" w:color="auto" w:fill="FFFFFF"/>
            <w:vAlign w:val="center"/>
          </w:tcPr>
          <w:p>
            <w:pPr>
              <w:widowControl/>
              <w:ind w:left="19" w:leftChars="-48" w:right="-103" w:rightChars="-49" w:hanging="120" w:hangingChars="50"/>
              <w:jc w:val="center"/>
              <w:rPr>
                <w:rFonts w:cs="宋体" w:asciiTheme="minorEastAsia" w:hAnsiTheme="minorEastAsia"/>
                <w:sz w:val="24"/>
                <w:szCs w:val="24"/>
              </w:rPr>
            </w:pPr>
            <w:r>
              <w:rPr>
                <w:rFonts w:hint="eastAsia" w:cs="宋体" w:asciiTheme="minorEastAsia" w:hAnsiTheme="minorEastAsia"/>
                <w:sz w:val="24"/>
                <w:szCs w:val="24"/>
              </w:rPr>
              <w:t>机械伤害、火灾、爆炸等</w:t>
            </w:r>
          </w:p>
        </w:tc>
        <w:tc>
          <w:tcPr>
            <w:tcW w:w="1107" w:type="dxa"/>
            <w:shd w:val="clear" w:color="auto" w:fill="FFFFFF"/>
            <w:vAlign w:val="center"/>
          </w:tcPr>
          <w:p>
            <w:pPr>
              <w:widowControl/>
              <w:ind w:left="21" w:leftChars="-53" w:right="-80" w:rightChars="-38" w:hanging="132" w:hangingChars="55"/>
              <w:jc w:val="center"/>
              <w:rPr>
                <w:rFonts w:cs="宋体" w:asciiTheme="minorEastAsia" w:hAnsiTheme="minorEastAsia"/>
                <w:sz w:val="24"/>
                <w:szCs w:val="24"/>
              </w:rPr>
            </w:pPr>
            <w:r>
              <w:rPr>
                <w:rFonts w:hint="eastAsia" w:cs="宋体" w:asciiTheme="minorEastAsia" w:hAnsiTheme="minorEastAsia"/>
                <w:sz w:val="24"/>
                <w:szCs w:val="24"/>
              </w:rPr>
              <w:t>人员伤亡</w:t>
            </w:r>
          </w:p>
          <w:p>
            <w:pPr>
              <w:widowControl/>
              <w:ind w:left="21" w:leftChars="-53" w:right="-80" w:rightChars="-38" w:hanging="132" w:hangingChars="55"/>
              <w:jc w:val="center"/>
              <w:rPr>
                <w:rFonts w:cs="宋体" w:asciiTheme="minorEastAsia" w:hAnsiTheme="minorEastAsia"/>
                <w:sz w:val="24"/>
                <w:szCs w:val="24"/>
              </w:rPr>
            </w:pPr>
            <w:r>
              <w:rPr>
                <w:rFonts w:hint="eastAsia" w:cs="宋体" w:asciiTheme="minorEastAsia" w:hAnsiTheme="minorEastAsia"/>
                <w:sz w:val="24"/>
                <w:szCs w:val="24"/>
              </w:rPr>
              <w:t>财产损失</w:t>
            </w:r>
          </w:p>
        </w:tc>
        <w:tc>
          <w:tcPr>
            <w:tcW w:w="1776" w:type="dxa"/>
            <w:shd w:val="clear" w:color="auto" w:fill="FFFFFF"/>
            <w:vAlign w:val="center"/>
          </w:tcPr>
          <w:p>
            <w:pPr>
              <w:widowControl/>
              <w:jc w:val="center"/>
              <w:rPr>
                <w:rFonts w:cs="宋体" w:asciiTheme="minorEastAsia" w:hAnsiTheme="minorEastAsia"/>
                <w:sz w:val="24"/>
                <w:szCs w:val="24"/>
              </w:rPr>
            </w:pPr>
            <w:r>
              <w:rPr>
                <w:rFonts w:hint="eastAsia" w:cs="宋体" w:asciiTheme="minorEastAsia" w:hAnsiTheme="minorEastAsia"/>
                <w:sz w:val="24"/>
                <w:szCs w:val="24"/>
              </w:rPr>
              <w:t>重伤≤</w:t>
            </w:r>
            <w:r>
              <w:rPr>
                <w:rFonts w:cs="宋体" w:asciiTheme="minorEastAsia" w:hAnsiTheme="minorEastAsia"/>
                <w:sz w:val="24"/>
                <w:szCs w:val="24"/>
              </w:rPr>
              <w:t>1%</w:t>
            </w:r>
          </w:p>
          <w:p>
            <w:pPr>
              <w:widowControl/>
              <w:jc w:val="center"/>
              <w:rPr>
                <w:rFonts w:cs="宋体" w:asciiTheme="minorEastAsia" w:hAnsiTheme="minorEastAsia"/>
                <w:sz w:val="24"/>
                <w:szCs w:val="24"/>
              </w:rPr>
            </w:pPr>
            <w:r>
              <w:rPr>
                <w:rFonts w:hint="eastAsia" w:ascii="宋体" w:hAnsi="宋体"/>
                <w:bCs/>
                <w:sz w:val="24"/>
                <w:szCs w:val="24"/>
              </w:rPr>
              <w:t>轻伤率≤3‰</w:t>
            </w:r>
          </w:p>
        </w:tc>
        <w:tc>
          <w:tcPr>
            <w:tcW w:w="1776" w:type="dxa"/>
            <w:shd w:val="clear" w:color="auto" w:fill="FFFFFF"/>
            <w:vAlign w:val="center"/>
          </w:tcPr>
          <w:p>
            <w:pPr>
              <w:widowControl/>
              <w:jc w:val="left"/>
              <w:rPr>
                <w:rFonts w:cs="宋体" w:asciiTheme="minorEastAsia" w:hAnsiTheme="minorEastAsia"/>
                <w:sz w:val="24"/>
                <w:szCs w:val="24"/>
              </w:rPr>
            </w:pPr>
            <w:r>
              <w:rPr>
                <w:rFonts w:hint="eastAsia" w:cs="宋体" w:asciiTheme="minorEastAsia" w:hAnsiTheme="minorEastAsia"/>
                <w:sz w:val="24"/>
                <w:szCs w:val="24"/>
              </w:rPr>
              <w:t>重大伤亡事故、火灾、爆炸为零。</w:t>
            </w:r>
            <w:r>
              <w:rPr>
                <w:rFonts w:hint="eastAsia" w:ascii="宋体" w:hAnsi="宋体"/>
                <w:bCs/>
                <w:sz w:val="24"/>
                <w:szCs w:val="24"/>
              </w:rPr>
              <w:t>轻伤率≤3‰</w:t>
            </w:r>
          </w:p>
        </w:tc>
        <w:tc>
          <w:tcPr>
            <w:tcW w:w="1037" w:type="dxa"/>
            <w:shd w:val="clear" w:color="auto" w:fill="FFFFFF"/>
            <w:vAlign w:val="center"/>
          </w:tcPr>
          <w:p>
            <w:pPr>
              <w:widowControl/>
              <w:jc w:val="center"/>
              <w:rPr>
                <w:rFonts w:cs="宋体" w:asciiTheme="minorEastAsia" w:hAnsiTheme="minorEastAsia"/>
                <w:sz w:val="24"/>
                <w:szCs w:val="24"/>
              </w:rPr>
            </w:pPr>
            <w:r>
              <w:rPr>
                <w:rFonts w:hint="eastAsia" w:cs="宋体" w:asciiTheme="minorEastAsia" w:hAnsiTheme="minorEastAsia"/>
                <w:sz w:val="24"/>
                <w:szCs w:val="24"/>
              </w:rPr>
              <w:t>统计与分析</w:t>
            </w:r>
          </w:p>
        </w:tc>
        <w:tc>
          <w:tcPr>
            <w:tcW w:w="1755" w:type="dxa"/>
            <w:shd w:val="clear" w:color="auto" w:fill="FFFFFF"/>
            <w:vAlign w:val="center"/>
          </w:tcPr>
          <w:p>
            <w:pPr>
              <w:widowControl/>
              <w:jc w:val="center"/>
              <w:rPr>
                <w:rFonts w:cs="宋体" w:asciiTheme="minorEastAsia" w:hAnsiTheme="minorEastAsia"/>
                <w:sz w:val="24"/>
                <w:szCs w:val="24"/>
              </w:rPr>
            </w:pPr>
            <w:r>
              <w:rPr>
                <w:rFonts w:hint="eastAsia" w:cs="宋体" w:asciiTheme="minorEastAsia" w:hAnsiTheme="minorEastAsia"/>
                <w:sz w:val="24"/>
                <w:szCs w:val="24"/>
              </w:rPr>
              <w:t>程序、管理方案、检查</w:t>
            </w:r>
          </w:p>
        </w:tc>
      </w:tr>
      <w:tr>
        <w:tblPrEx>
          <w:tblBorders>
            <w:top w:val="thinThickSmallGap" w:color="008080" w:sz="18" w:space="0"/>
            <w:left w:val="thinThickSmallGap" w:color="008080" w:sz="18" w:space="0"/>
            <w:bottom w:val="thickThinSmallGap" w:color="008080" w:sz="18" w:space="0"/>
            <w:right w:val="thickThinSmallGap" w:color="008080" w:sz="18" w:space="0"/>
            <w:insideH w:val="single" w:color="008080" w:sz="6" w:space="0"/>
            <w:insideV w:val="single" w:color="008080" w:sz="6" w:space="0"/>
          </w:tblBorders>
          <w:tblLayout w:type="fixed"/>
          <w:tblCellMar>
            <w:top w:w="0" w:type="dxa"/>
            <w:left w:w="108" w:type="dxa"/>
            <w:bottom w:w="0" w:type="dxa"/>
            <w:right w:w="108" w:type="dxa"/>
          </w:tblCellMar>
        </w:tblPrEx>
        <w:trPr>
          <w:trHeight w:val="991" w:hRule="atLeast"/>
          <w:jc w:val="center"/>
        </w:trPr>
        <w:tc>
          <w:tcPr>
            <w:tcW w:w="680" w:type="dxa"/>
            <w:vMerge w:val="restart"/>
            <w:shd w:val="clear" w:color="auto" w:fill="FFFFFF"/>
            <w:vAlign w:val="center"/>
          </w:tcPr>
          <w:p>
            <w:pPr>
              <w:widowControl/>
              <w:jc w:val="center"/>
              <w:rPr>
                <w:rFonts w:cs="宋体" w:asciiTheme="minorEastAsia" w:hAnsiTheme="minorEastAsia"/>
                <w:sz w:val="24"/>
                <w:szCs w:val="24"/>
              </w:rPr>
            </w:pPr>
            <w:r>
              <w:rPr>
                <w:rFonts w:hint="eastAsia" w:cs="宋体" w:asciiTheme="minorEastAsia" w:hAnsiTheme="minorEastAsia"/>
                <w:sz w:val="24"/>
                <w:szCs w:val="24"/>
              </w:rPr>
              <w:t>公共卫生</w:t>
            </w:r>
          </w:p>
        </w:tc>
        <w:tc>
          <w:tcPr>
            <w:tcW w:w="1005" w:type="dxa"/>
            <w:shd w:val="clear" w:color="auto" w:fill="FFFFFF"/>
            <w:vAlign w:val="center"/>
          </w:tcPr>
          <w:p>
            <w:pPr>
              <w:widowControl/>
              <w:ind w:left="19" w:leftChars="-48" w:right="-103" w:rightChars="-49" w:hanging="120" w:hangingChars="50"/>
              <w:jc w:val="center"/>
              <w:rPr>
                <w:rFonts w:cs="宋体" w:asciiTheme="minorEastAsia" w:hAnsiTheme="minorEastAsia"/>
                <w:sz w:val="24"/>
                <w:szCs w:val="24"/>
              </w:rPr>
            </w:pPr>
            <w:r>
              <w:rPr>
                <w:rFonts w:hint="eastAsia" w:cs="宋体" w:asciiTheme="minorEastAsia" w:hAnsiTheme="minorEastAsia"/>
                <w:sz w:val="24"/>
                <w:szCs w:val="24"/>
              </w:rPr>
              <w:t>焊接印刷产生的废气</w:t>
            </w:r>
          </w:p>
        </w:tc>
        <w:tc>
          <w:tcPr>
            <w:tcW w:w="1107" w:type="dxa"/>
            <w:shd w:val="clear" w:color="auto" w:fill="FFFFFF"/>
            <w:vAlign w:val="center"/>
          </w:tcPr>
          <w:p>
            <w:pPr>
              <w:widowControl/>
              <w:ind w:left="21" w:leftChars="-53" w:right="-80" w:rightChars="-38" w:hanging="132" w:hangingChars="55"/>
              <w:jc w:val="left"/>
              <w:rPr>
                <w:rFonts w:cs="宋体" w:asciiTheme="minorEastAsia" w:hAnsiTheme="minorEastAsia"/>
                <w:sz w:val="24"/>
                <w:szCs w:val="24"/>
              </w:rPr>
            </w:pPr>
            <w:r>
              <w:rPr>
                <w:rFonts w:hint="eastAsia" w:cs="宋体" w:asciiTheme="minorEastAsia" w:hAnsiTheme="minorEastAsia"/>
                <w:sz w:val="24"/>
                <w:szCs w:val="24"/>
              </w:rPr>
              <w:t>导致职业病</w:t>
            </w:r>
          </w:p>
        </w:tc>
        <w:tc>
          <w:tcPr>
            <w:tcW w:w="1776" w:type="dxa"/>
            <w:shd w:val="clear" w:color="auto" w:fill="FFFFFF"/>
            <w:vAlign w:val="center"/>
          </w:tcPr>
          <w:p>
            <w:pPr>
              <w:widowControl/>
              <w:jc w:val="left"/>
              <w:rPr>
                <w:rFonts w:hint="default" w:cs="宋体" w:asciiTheme="minorEastAsia" w:hAnsiTheme="minorEastAsia" w:eastAsiaTheme="minorEastAsia"/>
                <w:sz w:val="24"/>
                <w:szCs w:val="24"/>
                <w:lang w:val="en-US" w:eastAsia="zh-CN"/>
              </w:rPr>
            </w:pPr>
            <w:r>
              <w:rPr>
                <w:rFonts w:cs="宋体" w:asciiTheme="minorEastAsia" w:hAnsiTheme="minorEastAsia"/>
                <w:sz w:val="24"/>
                <w:szCs w:val="24"/>
              </w:rPr>
              <w:t>GBZ2</w:t>
            </w:r>
            <w:r>
              <w:rPr>
                <w:rFonts w:hint="eastAsia" w:cs="宋体" w:asciiTheme="minorEastAsia" w:hAnsiTheme="minorEastAsia"/>
                <w:sz w:val="24"/>
                <w:szCs w:val="24"/>
              </w:rPr>
              <w:t>.1</w:t>
            </w:r>
            <w:r>
              <w:rPr>
                <w:rFonts w:cs="宋体" w:asciiTheme="minorEastAsia" w:hAnsiTheme="minorEastAsia"/>
                <w:sz w:val="24"/>
                <w:szCs w:val="24"/>
              </w:rPr>
              <w:t>-20</w:t>
            </w:r>
            <w:r>
              <w:rPr>
                <w:rFonts w:hint="eastAsia" w:cs="宋体" w:asciiTheme="minorEastAsia" w:hAnsiTheme="minorEastAsia"/>
                <w:sz w:val="24"/>
                <w:szCs w:val="24"/>
                <w:lang w:val="en-US" w:eastAsia="zh-CN"/>
              </w:rPr>
              <w:t>19</w:t>
            </w:r>
          </w:p>
        </w:tc>
        <w:tc>
          <w:tcPr>
            <w:tcW w:w="1776" w:type="dxa"/>
            <w:shd w:val="clear" w:color="auto" w:fill="FFFFFF"/>
            <w:vAlign w:val="center"/>
          </w:tcPr>
          <w:p>
            <w:pPr>
              <w:widowControl/>
              <w:jc w:val="center"/>
              <w:rPr>
                <w:rFonts w:cs="宋体" w:asciiTheme="minorEastAsia" w:hAnsiTheme="minorEastAsia"/>
                <w:sz w:val="24"/>
                <w:szCs w:val="24"/>
              </w:rPr>
            </w:pPr>
            <w:r>
              <w:rPr>
                <w:rFonts w:hint="eastAsia" w:cs="宋体" w:asciiTheme="minorEastAsia" w:hAnsiTheme="minorEastAsia"/>
                <w:sz w:val="24"/>
                <w:szCs w:val="24"/>
              </w:rPr>
              <w:t>无职业病</w:t>
            </w:r>
          </w:p>
        </w:tc>
        <w:tc>
          <w:tcPr>
            <w:tcW w:w="1037" w:type="dxa"/>
            <w:shd w:val="clear" w:color="auto" w:fill="FFFFFF"/>
            <w:vAlign w:val="center"/>
          </w:tcPr>
          <w:p>
            <w:pPr>
              <w:widowControl/>
              <w:jc w:val="center"/>
              <w:rPr>
                <w:rFonts w:cs="宋体" w:asciiTheme="minorEastAsia" w:hAnsiTheme="minorEastAsia"/>
                <w:sz w:val="24"/>
                <w:szCs w:val="24"/>
              </w:rPr>
            </w:pPr>
            <w:r>
              <w:rPr>
                <w:rFonts w:hint="eastAsia" w:cs="宋体" w:asciiTheme="minorEastAsia" w:hAnsiTheme="minorEastAsia"/>
                <w:sz w:val="24"/>
                <w:szCs w:val="24"/>
              </w:rPr>
              <w:t>委外体检</w:t>
            </w:r>
          </w:p>
        </w:tc>
        <w:tc>
          <w:tcPr>
            <w:tcW w:w="1755" w:type="dxa"/>
            <w:shd w:val="clear" w:color="auto" w:fill="FFFFFF"/>
            <w:vAlign w:val="center"/>
          </w:tcPr>
          <w:p>
            <w:pPr>
              <w:widowControl/>
              <w:jc w:val="center"/>
              <w:rPr>
                <w:rFonts w:cs="宋体" w:asciiTheme="minorEastAsia" w:hAnsiTheme="minorEastAsia"/>
                <w:sz w:val="24"/>
                <w:szCs w:val="24"/>
              </w:rPr>
            </w:pPr>
            <w:r>
              <w:rPr>
                <w:rFonts w:hint="eastAsia" w:cs="宋体" w:asciiTheme="minorEastAsia" w:hAnsiTheme="minorEastAsia"/>
                <w:sz w:val="24"/>
                <w:szCs w:val="24"/>
              </w:rPr>
              <w:t>程序、管理方案、检查</w:t>
            </w:r>
          </w:p>
        </w:tc>
      </w:tr>
      <w:tr>
        <w:tblPrEx>
          <w:tblBorders>
            <w:top w:val="thinThickSmallGap" w:color="008080" w:sz="18" w:space="0"/>
            <w:left w:val="thinThickSmallGap" w:color="008080" w:sz="18" w:space="0"/>
            <w:bottom w:val="thickThinSmallGap" w:color="008080" w:sz="18" w:space="0"/>
            <w:right w:val="thickThinSmallGap" w:color="008080" w:sz="18" w:space="0"/>
            <w:insideH w:val="single" w:color="008080" w:sz="6" w:space="0"/>
            <w:insideV w:val="single" w:color="008080" w:sz="6" w:space="0"/>
          </w:tblBorders>
          <w:tblLayout w:type="fixed"/>
          <w:tblCellMar>
            <w:top w:w="0" w:type="dxa"/>
            <w:left w:w="108" w:type="dxa"/>
            <w:bottom w:w="0" w:type="dxa"/>
            <w:right w:w="108" w:type="dxa"/>
          </w:tblCellMar>
        </w:tblPrEx>
        <w:trPr>
          <w:trHeight w:val="977" w:hRule="atLeast"/>
          <w:jc w:val="center"/>
        </w:trPr>
        <w:tc>
          <w:tcPr>
            <w:tcW w:w="680" w:type="dxa"/>
            <w:vMerge w:val="continue"/>
            <w:shd w:val="clear" w:color="auto" w:fill="FFFFFF"/>
            <w:vAlign w:val="center"/>
          </w:tcPr>
          <w:p>
            <w:pPr>
              <w:widowControl/>
              <w:jc w:val="center"/>
              <w:rPr>
                <w:rFonts w:cs="宋体" w:asciiTheme="minorEastAsia" w:hAnsiTheme="minorEastAsia"/>
                <w:sz w:val="24"/>
                <w:szCs w:val="24"/>
              </w:rPr>
            </w:pPr>
          </w:p>
        </w:tc>
        <w:tc>
          <w:tcPr>
            <w:tcW w:w="1005" w:type="dxa"/>
            <w:shd w:val="clear" w:color="auto" w:fill="FFFFFF"/>
            <w:vAlign w:val="center"/>
          </w:tcPr>
          <w:p>
            <w:pPr>
              <w:widowControl/>
              <w:ind w:left="19" w:leftChars="-48" w:right="-103" w:rightChars="-49" w:hanging="120" w:hangingChars="50"/>
              <w:jc w:val="center"/>
              <w:rPr>
                <w:rFonts w:cs="宋体" w:asciiTheme="minorEastAsia" w:hAnsiTheme="minorEastAsia"/>
                <w:sz w:val="24"/>
                <w:szCs w:val="24"/>
              </w:rPr>
            </w:pPr>
            <w:r>
              <w:rPr>
                <w:rFonts w:hint="eastAsia" w:cs="宋体" w:asciiTheme="minorEastAsia" w:hAnsiTheme="minorEastAsia"/>
                <w:sz w:val="24"/>
                <w:szCs w:val="24"/>
              </w:rPr>
              <w:t>噪声</w:t>
            </w:r>
          </w:p>
        </w:tc>
        <w:tc>
          <w:tcPr>
            <w:tcW w:w="1107" w:type="dxa"/>
            <w:shd w:val="clear" w:color="auto" w:fill="FFFFFF"/>
            <w:vAlign w:val="center"/>
          </w:tcPr>
          <w:p>
            <w:pPr>
              <w:widowControl/>
              <w:ind w:left="21" w:leftChars="-53" w:right="-80" w:rightChars="-38" w:hanging="132" w:hangingChars="55"/>
              <w:jc w:val="left"/>
              <w:rPr>
                <w:rFonts w:cs="宋体" w:asciiTheme="minorEastAsia" w:hAnsiTheme="minorEastAsia"/>
                <w:sz w:val="24"/>
                <w:szCs w:val="24"/>
              </w:rPr>
            </w:pPr>
            <w:r>
              <w:rPr>
                <w:rFonts w:hint="eastAsia" w:cs="宋体" w:asciiTheme="minorEastAsia" w:hAnsiTheme="minorEastAsia"/>
                <w:sz w:val="24"/>
                <w:szCs w:val="24"/>
              </w:rPr>
              <w:t>导致职业病</w:t>
            </w:r>
          </w:p>
        </w:tc>
        <w:tc>
          <w:tcPr>
            <w:tcW w:w="1776" w:type="dxa"/>
            <w:shd w:val="clear" w:color="auto" w:fill="FFFFFF"/>
            <w:vAlign w:val="center"/>
          </w:tcPr>
          <w:p>
            <w:pPr>
              <w:widowControl/>
              <w:jc w:val="left"/>
              <w:rPr>
                <w:rFonts w:cs="宋体" w:asciiTheme="minorEastAsia" w:hAnsiTheme="minorEastAsia"/>
                <w:sz w:val="24"/>
                <w:szCs w:val="24"/>
              </w:rPr>
            </w:pPr>
            <w:r>
              <w:rPr>
                <w:rFonts w:cs="宋体" w:asciiTheme="minorEastAsia" w:hAnsiTheme="minorEastAsia"/>
                <w:sz w:val="24"/>
                <w:szCs w:val="24"/>
              </w:rPr>
              <w:t>GBZ2</w:t>
            </w:r>
            <w:r>
              <w:rPr>
                <w:rFonts w:hint="eastAsia" w:cs="宋体" w:asciiTheme="minorEastAsia" w:hAnsiTheme="minorEastAsia"/>
                <w:sz w:val="24"/>
                <w:szCs w:val="24"/>
              </w:rPr>
              <w:t>.2</w:t>
            </w:r>
            <w:r>
              <w:rPr>
                <w:rFonts w:cs="宋体" w:asciiTheme="minorEastAsia" w:hAnsiTheme="minorEastAsia"/>
                <w:sz w:val="24"/>
                <w:szCs w:val="24"/>
              </w:rPr>
              <w:t>-200</w:t>
            </w:r>
            <w:r>
              <w:rPr>
                <w:rFonts w:hint="eastAsia" w:cs="宋体" w:asciiTheme="minorEastAsia" w:hAnsiTheme="minorEastAsia"/>
                <w:sz w:val="24"/>
                <w:szCs w:val="24"/>
              </w:rPr>
              <w:t>7</w:t>
            </w:r>
          </w:p>
        </w:tc>
        <w:tc>
          <w:tcPr>
            <w:tcW w:w="1776" w:type="dxa"/>
            <w:shd w:val="clear" w:color="auto" w:fill="FFFFFF"/>
            <w:vAlign w:val="center"/>
          </w:tcPr>
          <w:p>
            <w:pPr>
              <w:widowControl/>
              <w:jc w:val="center"/>
              <w:rPr>
                <w:rFonts w:cs="宋体" w:asciiTheme="minorEastAsia" w:hAnsiTheme="minorEastAsia"/>
                <w:sz w:val="24"/>
                <w:szCs w:val="24"/>
              </w:rPr>
            </w:pPr>
            <w:r>
              <w:rPr>
                <w:rFonts w:hint="eastAsia" w:cs="宋体" w:asciiTheme="minorEastAsia" w:hAnsiTheme="minorEastAsia"/>
                <w:sz w:val="24"/>
                <w:szCs w:val="24"/>
              </w:rPr>
              <w:t>无职业病</w:t>
            </w:r>
          </w:p>
        </w:tc>
        <w:tc>
          <w:tcPr>
            <w:tcW w:w="1037" w:type="dxa"/>
            <w:shd w:val="clear" w:color="auto" w:fill="FFFFFF"/>
            <w:vAlign w:val="center"/>
          </w:tcPr>
          <w:p>
            <w:pPr>
              <w:widowControl/>
              <w:jc w:val="center"/>
              <w:rPr>
                <w:rFonts w:cs="宋体" w:asciiTheme="minorEastAsia" w:hAnsiTheme="minorEastAsia"/>
                <w:sz w:val="24"/>
                <w:szCs w:val="24"/>
              </w:rPr>
            </w:pPr>
            <w:r>
              <w:rPr>
                <w:rFonts w:hint="eastAsia" w:cs="宋体" w:asciiTheme="minorEastAsia" w:hAnsiTheme="minorEastAsia"/>
                <w:sz w:val="24"/>
                <w:szCs w:val="24"/>
              </w:rPr>
              <w:t>委外体检</w:t>
            </w:r>
          </w:p>
        </w:tc>
        <w:tc>
          <w:tcPr>
            <w:tcW w:w="1755" w:type="dxa"/>
            <w:shd w:val="clear" w:color="auto" w:fill="FFFFFF"/>
            <w:vAlign w:val="center"/>
          </w:tcPr>
          <w:p>
            <w:pPr>
              <w:widowControl/>
              <w:jc w:val="center"/>
              <w:rPr>
                <w:rFonts w:cs="宋体" w:asciiTheme="minorEastAsia" w:hAnsiTheme="minorEastAsia"/>
                <w:sz w:val="24"/>
                <w:szCs w:val="24"/>
              </w:rPr>
            </w:pPr>
            <w:r>
              <w:rPr>
                <w:rFonts w:hint="eastAsia" w:cs="宋体" w:asciiTheme="minorEastAsia" w:hAnsiTheme="minorEastAsia"/>
                <w:sz w:val="24"/>
                <w:szCs w:val="24"/>
              </w:rPr>
              <w:t>程序、管理方案、检查</w:t>
            </w:r>
          </w:p>
        </w:tc>
      </w:tr>
    </w:tbl>
    <w:p>
      <w:pPr>
        <w:spacing w:line="360" w:lineRule="auto"/>
        <w:ind w:firstLine="482" w:firstLineChars="200"/>
        <w:rPr>
          <w:rFonts w:asciiTheme="minorEastAsia" w:hAnsiTheme="minorEastAsia"/>
          <w:sz w:val="24"/>
          <w:szCs w:val="24"/>
        </w:rPr>
      </w:pPr>
      <w:r>
        <w:rPr>
          <w:rFonts w:hint="eastAsia" w:asciiTheme="minorEastAsia" w:hAnsiTheme="minorEastAsia"/>
          <w:b/>
          <w:sz w:val="24"/>
          <w:szCs w:val="24"/>
        </w:rPr>
        <w:t>1.2</w:t>
      </w:r>
      <w:r>
        <w:rPr>
          <w:rFonts w:hint="eastAsia" w:asciiTheme="minorEastAsia" w:hAnsiTheme="minorEastAsia"/>
          <w:sz w:val="24"/>
          <w:szCs w:val="24"/>
        </w:rPr>
        <w:t>公司高层运用战略环境分析中的外部审计方法，以及利用行业和网络等途径得出：产品安全、环境保护、能源消耗、安全生产、公共卫生对公司未来产品及运营将产生重大影响。</w:t>
      </w:r>
    </w:p>
    <w:p>
      <w:pPr>
        <w:spacing w:line="360" w:lineRule="auto"/>
        <w:ind w:firstLine="482" w:firstLineChars="200"/>
        <w:jc w:val="center"/>
        <w:rPr>
          <w:rFonts w:asciiTheme="minorEastAsia" w:hAnsiTheme="minorEastAsia"/>
          <w:b/>
          <w:sz w:val="24"/>
          <w:szCs w:val="24"/>
        </w:rPr>
      </w:pPr>
    </w:p>
    <w:p>
      <w:pPr>
        <w:spacing w:line="360" w:lineRule="auto"/>
        <w:ind w:firstLine="482" w:firstLineChars="200"/>
        <w:jc w:val="center"/>
        <w:rPr>
          <w:rFonts w:asciiTheme="minorEastAsia" w:hAnsiTheme="minorEastAsia"/>
          <w:b/>
          <w:sz w:val="24"/>
          <w:szCs w:val="24"/>
        </w:rPr>
      </w:pPr>
    </w:p>
    <w:p>
      <w:pPr>
        <w:spacing w:line="360" w:lineRule="auto"/>
        <w:ind w:firstLine="482" w:firstLineChars="200"/>
        <w:jc w:val="center"/>
        <w:rPr>
          <w:rFonts w:asciiTheme="minorEastAsia" w:hAnsiTheme="minorEastAsia"/>
          <w:b/>
          <w:sz w:val="24"/>
          <w:szCs w:val="24"/>
        </w:rPr>
      </w:pPr>
      <w:r>
        <w:rPr>
          <w:rFonts w:hint="eastAsia" w:asciiTheme="minorEastAsia" w:hAnsiTheme="minorEastAsia"/>
          <w:b/>
          <w:sz w:val="24"/>
          <w:szCs w:val="24"/>
        </w:rPr>
        <w:t>公共责任的预见和应对</w:t>
      </w:r>
    </w:p>
    <w:tbl>
      <w:tblPr>
        <w:tblStyle w:val="39"/>
        <w:tblW w:w="8522" w:type="dxa"/>
        <w:tblInd w:w="0" w:type="dxa"/>
        <w:tblBorders>
          <w:top w:val="thinThickSmallGap" w:color="008080" w:sz="18" w:space="0"/>
          <w:left w:val="thinThickSmallGap" w:color="008080" w:sz="18" w:space="0"/>
          <w:bottom w:val="thickThinSmallGap" w:color="008080" w:sz="18" w:space="0"/>
          <w:right w:val="thickThinSmallGap" w:color="008080" w:sz="18" w:space="0"/>
          <w:insideH w:val="single" w:color="008080" w:sz="6" w:space="0"/>
          <w:insideV w:val="single" w:color="008080" w:sz="6" w:space="0"/>
        </w:tblBorders>
        <w:tblLayout w:type="fixed"/>
        <w:tblCellMar>
          <w:top w:w="0" w:type="dxa"/>
          <w:left w:w="108" w:type="dxa"/>
          <w:bottom w:w="0" w:type="dxa"/>
          <w:right w:w="108" w:type="dxa"/>
        </w:tblCellMar>
      </w:tblPr>
      <w:tblGrid>
        <w:gridCol w:w="1379"/>
        <w:gridCol w:w="1616"/>
        <w:gridCol w:w="5527"/>
      </w:tblGrid>
      <w:tr>
        <w:tblPrEx>
          <w:tblBorders>
            <w:top w:val="thinThickSmallGap" w:color="008080" w:sz="18" w:space="0"/>
            <w:left w:val="thinThickSmallGap" w:color="008080" w:sz="18" w:space="0"/>
            <w:bottom w:val="thickThinSmallGap" w:color="008080" w:sz="18" w:space="0"/>
            <w:right w:val="thickThinSmallGap" w:color="008080" w:sz="18" w:space="0"/>
            <w:insideH w:val="single" w:color="008080" w:sz="6" w:space="0"/>
            <w:insideV w:val="single" w:color="008080" w:sz="6" w:space="0"/>
          </w:tblBorders>
          <w:tblLayout w:type="fixed"/>
          <w:tblCellMar>
            <w:top w:w="0" w:type="dxa"/>
            <w:left w:w="108" w:type="dxa"/>
            <w:bottom w:w="0" w:type="dxa"/>
            <w:right w:w="108" w:type="dxa"/>
          </w:tblCellMar>
        </w:tblPrEx>
        <w:trPr>
          <w:trHeight w:val="407" w:hRule="atLeast"/>
          <w:tblHeader/>
        </w:trPr>
        <w:tc>
          <w:tcPr>
            <w:tcW w:w="1379" w:type="dxa"/>
            <w:shd w:val="clear" w:color="auto" w:fill="auto"/>
            <w:vAlign w:val="center"/>
          </w:tcPr>
          <w:p>
            <w:pPr>
              <w:widowControl/>
              <w:jc w:val="center"/>
              <w:rPr>
                <w:rFonts w:cs="宋体" w:asciiTheme="minorEastAsia" w:hAnsiTheme="minorEastAsia"/>
                <w:b/>
                <w:sz w:val="24"/>
                <w:szCs w:val="24"/>
              </w:rPr>
            </w:pPr>
            <w:r>
              <w:rPr>
                <w:rFonts w:hint="eastAsia" w:cs="宋体" w:asciiTheme="minorEastAsia" w:hAnsiTheme="minorEastAsia"/>
                <w:b/>
                <w:sz w:val="24"/>
                <w:szCs w:val="24"/>
              </w:rPr>
              <w:t>控制项目</w:t>
            </w:r>
          </w:p>
        </w:tc>
        <w:tc>
          <w:tcPr>
            <w:tcW w:w="1616" w:type="dxa"/>
            <w:shd w:val="clear" w:color="auto" w:fill="auto"/>
            <w:vAlign w:val="center"/>
          </w:tcPr>
          <w:p>
            <w:pPr>
              <w:widowControl/>
              <w:jc w:val="center"/>
              <w:rPr>
                <w:rFonts w:cs="宋体" w:asciiTheme="minorEastAsia" w:hAnsiTheme="minorEastAsia"/>
                <w:b/>
                <w:sz w:val="24"/>
                <w:szCs w:val="24"/>
              </w:rPr>
            </w:pPr>
            <w:r>
              <w:rPr>
                <w:rFonts w:hint="eastAsia" w:cs="宋体" w:asciiTheme="minorEastAsia" w:hAnsiTheme="minorEastAsia"/>
                <w:b/>
                <w:sz w:val="24"/>
                <w:szCs w:val="24"/>
              </w:rPr>
              <w:t>隐忧</w:t>
            </w:r>
          </w:p>
        </w:tc>
        <w:tc>
          <w:tcPr>
            <w:tcW w:w="5527" w:type="dxa"/>
            <w:shd w:val="clear" w:color="auto" w:fill="auto"/>
            <w:vAlign w:val="center"/>
          </w:tcPr>
          <w:p>
            <w:pPr>
              <w:widowControl/>
              <w:jc w:val="center"/>
              <w:rPr>
                <w:rFonts w:cs="宋体" w:asciiTheme="minorEastAsia" w:hAnsiTheme="minorEastAsia"/>
                <w:b/>
                <w:sz w:val="24"/>
                <w:szCs w:val="24"/>
              </w:rPr>
            </w:pPr>
            <w:r>
              <w:rPr>
                <w:rFonts w:hint="eastAsia" w:cs="宋体" w:asciiTheme="minorEastAsia" w:hAnsiTheme="minorEastAsia"/>
                <w:b/>
                <w:sz w:val="24"/>
                <w:szCs w:val="24"/>
              </w:rPr>
              <w:t>提前的准备</w:t>
            </w:r>
          </w:p>
        </w:tc>
      </w:tr>
      <w:tr>
        <w:tblPrEx>
          <w:tblBorders>
            <w:top w:val="thinThickSmallGap" w:color="008080" w:sz="18" w:space="0"/>
            <w:left w:val="thinThickSmallGap" w:color="008080" w:sz="18" w:space="0"/>
            <w:bottom w:val="thickThinSmallGap" w:color="008080" w:sz="18" w:space="0"/>
            <w:right w:val="thickThinSmallGap" w:color="008080" w:sz="18" w:space="0"/>
            <w:insideH w:val="single" w:color="008080" w:sz="6" w:space="0"/>
            <w:insideV w:val="single" w:color="008080" w:sz="6" w:space="0"/>
          </w:tblBorders>
          <w:tblLayout w:type="fixed"/>
          <w:tblCellMar>
            <w:top w:w="0" w:type="dxa"/>
            <w:left w:w="108" w:type="dxa"/>
            <w:bottom w:w="0" w:type="dxa"/>
            <w:right w:w="108" w:type="dxa"/>
          </w:tblCellMar>
        </w:tblPrEx>
        <w:trPr>
          <w:trHeight w:val="471" w:hRule="atLeast"/>
        </w:trPr>
        <w:tc>
          <w:tcPr>
            <w:tcW w:w="1379" w:type="dxa"/>
            <w:vAlign w:val="center"/>
          </w:tcPr>
          <w:p>
            <w:pPr>
              <w:widowControl/>
              <w:jc w:val="center"/>
              <w:rPr>
                <w:rFonts w:cs="宋体" w:asciiTheme="minorEastAsia" w:hAnsiTheme="minorEastAsia"/>
                <w:sz w:val="24"/>
                <w:szCs w:val="24"/>
              </w:rPr>
            </w:pPr>
            <w:r>
              <w:rPr>
                <w:rFonts w:hint="eastAsia" w:cs="宋体" w:asciiTheme="minorEastAsia" w:hAnsiTheme="minorEastAsia"/>
                <w:sz w:val="24"/>
                <w:szCs w:val="24"/>
              </w:rPr>
              <w:t>产品安全</w:t>
            </w:r>
          </w:p>
        </w:tc>
        <w:tc>
          <w:tcPr>
            <w:tcW w:w="1616" w:type="dxa"/>
            <w:vAlign w:val="center"/>
          </w:tcPr>
          <w:p>
            <w:pPr>
              <w:widowControl/>
              <w:jc w:val="center"/>
              <w:rPr>
                <w:rFonts w:cs="宋体" w:asciiTheme="minorEastAsia" w:hAnsiTheme="minorEastAsia"/>
                <w:sz w:val="24"/>
                <w:szCs w:val="24"/>
              </w:rPr>
            </w:pPr>
            <w:r>
              <w:rPr>
                <w:rFonts w:hint="eastAsia" w:cs="宋体" w:asciiTheme="minorEastAsia" w:hAnsiTheme="minorEastAsia"/>
                <w:sz w:val="24"/>
                <w:szCs w:val="24"/>
              </w:rPr>
              <w:t>随着国际社会对环境保护和人类健康的重视，客户对产品安全性能</w:t>
            </w:r>
          </w:p>
        </w:tc>
        <w:tc>
          <w:tcPr>
            <w:tcW w:w="5527" w:type="dxa"/>
            <w:vAlign w:val="center"/>
          </w:tcPr>
          <w:p>
            <w:pPr>
              <w:widowControl/>
              <w:rPr>
                <w:rFonts w:cs="宋体" w:asciiTheme="minorEastAsia" w:hAnsiTheme="minorEastAsia"/>
                <w:spacing w:val="-4"/>
                <w:sz w:val="24"/>
                <w:szCs w:val="24"/>
              </w:rPr>
            </w:pPr>
            <w:r>
              <w:rPr>
                <w:rFonts w:cs="宋体" w:asciiTheme="minorEastAsia" w:hAnsiTheme="minorEastAsia"/>
                <w:spacing w:val="-4"/>
                <w:sz w:val="24"/>
                <w:szCs w:val="24"/>
              </w:rPr>
              <w:t>1</w:t>
            </w:r>
            <w:r>
              <w:rPr>
                <w:rFonts w:hint="eastAsia" w:cs="宋体" w:asciiTheme="minorEastAsia" w:hAnsiTheme="minorEastAsia"/>
                <w:spacing w:val="-4"/>
                <w:sz w:val="24"/>
                <w:szCs w:val="24"/>
              </w:rPr>
              <w:t>、设计源头进行控制，确保产品的电气安全符合要求；</w:t>
            </w:r>
          </w:p>
          <w:p>
            <w:pPr>
              <w:widowControl/>
              <w:rPr>
                <w:rFonts w:cs="宋体" w:asciiTheme="minorEastAsia" w:hAnsiTheme="minorEastAsia"/>
                <w:spacing w:val="-4"/>
                <w:sz w:val="24"/>
                <w:szCs w:val="24"/>
              </w:rPr>
            </w:pPr>
            <w:r>
              <w:rPr>
                <w:rFonts w:cs="宋体" w:asciiTheme="minorEastAsia" w:hAnsiTheme="minorEastAsia"/>
                <w:spacing w:val="-4"/>
                <w:sz w:val="24"/>
                <w:szCs w:val="24"/>
              </w:rPr>
              <w:t>2</w:t>
            </w:r>
            <w:r>
              <w:rPr>
                <w:rFonts w:hint="eastAsia" w:cs="宋体" w:asciiTheme="minorEastAsia" w:hAnsiTheme="minorEastAsia"/>
                <w:spacing w:val="-4"/>
                <w:sz w:val="24"/>
                <w:szCs w:val="24"/>
              </w:rPr>
              <w:t>、加强对供方的控制，确保供给公司的原材料符合要求；</w:t>
            </w:r>
          </w:p>
          <w:p>
            <w:pPr>
              <w:widowControl/>
              <w:rPr>
                <w:rFonts w:cs="宋体" w:asciiTheme="minorEastAsia" w:hAnsiTheme="minorEastAsia"/>
                <w:spacing w:val="-4"/>
                <w:sz w:val="24"/>
                <w:szCs w:val="24"/>
              </w:rPr>
            </w:pPr>
            <w:r>
              <w:rPr>
                <w:rFonts w:cs="宋体" w:asciiTheme="minorEastAsia" w:hAnsiTheme="minorEastAsia"/>
                <w:spacing w:val="-4"/>
                <w:sz w:val="24"/>
                <w:szCs w:val="24"/>
              </w:rPr>
              <w:t>3</w:t>
            </w:r>
            <w:r>
              <w:rPr>
                <w:rFonts w:hint="eastAsia" w:cs="宋体" w:asciiTheme="minorEastAsia" w:hAnsiTheme="minorEastAsia"/>
                <w:spacing w:val="-4"/>
                <w:sz w:val="24"/>
                <w:szCs w:val="24"/>
              </w:rPr>
              <w:t>、公司对进厂原料进行抽检，确保不合格的原材料不被使用。</w:t>
            </w:r>
          </w:p>
          <w:p>
            <w:pPr>
              <w:widowControl/>
              <w:rPr>
                <w:rFonts w:cs="宋体" w:asciiTheme="minorEastAsia" w:hAnsiTheme="minorEastAsia"/>
                <w:spacing w:val="-4"/>
                <w:sz w:val="24"/>
                <w:szCs w:val="24"/>
              </w:rPr>
            </w:pPr>
            <w:r>
              <w:rPr>
                <w:rFonts w:hint="eastAsia" w:cs="宋体" w:asciiTheme="minorEastAsia" w:hAnsiTheme="minorEastAsia"/>
                <w:spacing w:val="-4"/>
                <w:sz w:val="24"/>
                <w:szCs w:val="24"/>
              </w:rPr>
              <w:t>4、加强产品的检验试验，确保不交付不合格的产品。</w:t>
            </w:r>
          </w:p>
        </w:tc>
      </w:tr>
      <w:tr>
        <w:tblPrEx>
          <w:tblBorders>
            <w:top w:val="thinThickSmallGap" w:color="008080" w:sz="18" w:space="0"/>
            <w:left w:val="thinThickSmallGap" w:color="008080" w:sz="18" w:space="0"/>
            <w:bottom w:val="thickThinSmallGap" w:color="008080" w:sz="18" w:space="0"/>
            <w:right w:val="thickThinSmallGap" w:color="008080" w:sz="18" w:space="0"/>
            <w:insideH w:val="single" w:color="008080" w:sz="6" w:space="0"/>
            <w:insideV w:val="single" w:color="008080" w:sz="6" w:space="0"/>
          </w:tblBorders>
          <w:tblLayout w:type="fixed"/>
          <w:tblCellMar>
            <w:top w:w="0" w:type="dxa"/>
            <w:left w:w="108" w:type="dxa"/>
            <w:bottom w:w="0" w:type="dxa"/>
            <w:right w:w="108" w:type="dxa"/>
          </w:tblCellMar>
        </w:tblPrEx>
        <w:trPr>
          <w:trHeight w:val="471" w:hRule="atLeast"/>
        </w:trPr>
        <w:tc>
          <w:tcPr>
            <w:tcW w:w="1379" w:type="dxa"/>
            <w:vAlign w:val="center"/>
          </w:tcPr>
          <w:p>
            <w:pPr>
              <w:widowControl/>
              <w:jc w:val="center"/>
              <w:rPr>
                <w:rFonts w:cs="宋体" w:asciiTheme="minorEastAsia" w:hAnsiTheme="minorEastAsia"/>
                <w:sz w:val="24"/>
                <w:szCs w:val="24"/>
              </w:rPr>
            </w:pPr>
            <w:r>
              <w:rPr>
                <w:rFonts w:hint="eastAsia" w:cs="宋体" w:asciiTheme="minorEastAsia" w:hAnsiTheme="minorEastAsia"/>
                <w:sz w:val="24"/>
                <w:szCs w:val="24"/>
              </w:rPr>
              <w:t>环境保护、能源消耗、资源的综合利用</w:t>
            </w:r>
          </w:p>
        </w:tc>
        <w:tc>
          <w:tcPr>
            <w:tcW w:w="1616" w:type="dxa"/>
            <w:vAlign w:val="center"/>
          </w:tcPr>
          <w:p>
            <w:pPr>
              <w:widowControl/>
              <w:jc w:val="center"/>
              <w:rPr>
                <w:rFonts w:cs="宋体" w:asciiTheme="minorEastAsia" w:hAnsiTheme="minorEastAsia"/>
                <w:sz w:val="24"/>
                <w:szCs w:val="24"/>
              </w:rPr>
            </w:pPr>
            <w:r>
              <w:rPr>
                <w:rFonts w:hint="eastAsia" w:cs="宋体" w:asciiTheme="minorEastAsia" w:hAnsiTheme="minorEastAsia"/>
                <w:sz w:val="24"/>
                <w:szCs w:val="24"/>
              </w:rPr>
              <w:t>随着人类生存环境的不断遭到破环，各国都加大了对环保、能耗和新能源开发的重视</w:t>
            </w:r>
          </w:p>
        </w:tc>
        <w:tc>
          <w:tcPr>
            <w:tcW w:w="5527" w:type="dxa"/>
            <w:vAlign w:val="center"/>
          </w:tcPr>
          <w:p>
            <w:pPr>
              <w:widowControl/>
              <w:rPr>
                <w:rFonts w:cs="宋体" w:asciiTheme="minorEastAsia" w:hAnsiTheme="minorEastAsia"/>
                <w:sz w:val="24"/>
                <w:szCs w:val="24"/>
              </w:rPr>
            </w:pPr>
            <w:r>
              <w:rPr>
                <w:rFonts w:cs="宋体" w:asciiTheme="minorEastAsia" w:hAnsiTheme="minorEastAsia"/>
                <w:sz w:val="24"/>
                <w:szCs w:val="24"/>
              </w:rPr>
              <w:t>1</w:t>
            </w:r>
            <w:r>
              <w:rPr>
                <w:rFonts w:hint="eastAsia" w:cs="宋体" w:asciiTheme="minorEastAsia" w:hAnsiTheme="minorEastAsia"/>
                <w:sz w:val="24"/>
                <w:szCs w:val="24"/>
              </w:rPr>
              <w:t>、公司在</w:t>
            </w:r>
            <w:r>
              <w:rPr>
                <w:rFonts w:cs="宋体" w:asciiTheme="minorEastAsia" w:hAnsiTheme="minorEastAsia"/>
                <w:sz w:val="24"/>
                <w:szCs w:val="24"/>
              </w:rPr>
              <w:t>20</w:t>
            </w:r>
            <w:r>
              <w:rPr>
                <w:rFonts w:hint="eastAsia" w:cs="宋体" w:asciiTheme="minorEastAsia" w:hAnsiTheme="minorEastAsia"/>
                <w:sz w:val="24"/>
                <w:szCs w:val="24"/>
              </w:rPr>
              <w:t>18年已通过环保“三同时”的审核；</w:t>
            </w:r>
          </w:p>
          <w:p>
            <w:pPr>
              <w:widowControl/>
              <w:rPr>
                <w:rFonts w:cs="宋体" w:asciiTheme="minorEastAsia" w:hAnsiTheme="minorEastAsia"/>
                <w:sz w:val="24"/>
                <w:szCs w:val="24"/>
              </w:rPr>
            </w:pPr>
            <w:r>
              <w:rPr>
                <w:rFonts w:cs="宋体" w:asciiTheme="minorEastAsia" w:hAnsiTheme="minorEastAsia"/>
                <w:sz w:val="24"/>
                <w:szCs w:val="24"/>
              </w:rPr>
              <w:t>2</w:t>
            </w:r>
            <w:r>
              <w:rPr>
                <w:rFonts w:hint="eastAsia" w:cs="宋体" w:asciiTheme="minorEastAsia" w:hAnsiTheme="minorEastAsia"/>
                <w:sz w:val="24"/>
                <w:szCs w:val="24"/>
              </w:rPr>
              <w:t>、引进先进设备、先进技术，公司在</w:t>
            </w:r>
            <w:r>
              <w:rPr>
                <w:rFonts w:hint="eastAsia" w:cs="宋体" w:asciiTheme="minorEastAsia" w:hAnsiTheme="minorEastAsia"/>
                <w:sz w:val="24"/>
                <w:szCs w:val="24"/>
                <w:lang w:eastAsia="zh-CN"/>
              </w:rPr>
              <w:t>202</w:t>
            </w:r>
            <w:r>
              <w:rPr>
                <w:rFonts w:hint="eastAsia" w:cs="宋体" w:asciiTheme="minorEastAsia" w:hAnsiTheme="minorEastAsia"/>
                <w:sz w:val="24"/>
                <w:szCs w:val="24"/>
                <w:lang w:val="en-US" w:eastAsia="zh-CN"/>
              </w:rPr>
              <w:t>1</w:t>
            </w:r>
            <w:r>
              <w:rPr>
                <w:rFonts w:hint="eastAsia" w:cs="宋体" w:asciiTheme="minorEastAsia" w:hAnsiTheme="minorEastAsia"/>
                <w:sz w:val="24"/>
                <w:szCs w:val="24"/>
              </w:rPr>
              <w:t>年能耗产值比</w:t>
            </w:r>
            <w:r>
              <w:rPr>
                <w:rFonts w:cs="宋体" w:asciiTheme="minorEastAsia" w:hAnsiTheme="minorEastAsia"/>
                <w:sz w:val="24"/>
                <w:szCs w:val="24"/>
              </w:rPr>
              <w:t>20</w:t>
            </w:r>
            <w:r>
              <w:rPr>
                <w:rFonts w:hint="eastAsia" w:cs="宋体" w:asciiTheme="minorEastAsia" w:hAnsiTheme="minorEastAsia"/>
                <w:sz w:val="24"/>
                <w:szCs w:val="24"/>
                <w:lang w:val="en-US" w:eastAsia="zh-CN"/>
              </w:rPr>
              <w:t>20</w:t>
            </w:r>
            <w:r>
              <w:rPr>
                <w:rFonts w:hint="eastAsia" w:cs="宋体" w:asciiTheme="minorEastAsia" w:hAnsiTheme="minorEastAsia"/>
                <w:sz w:val="24"/>
                <w:szCs w:val="24"/>
              </w:rPr>
              <w:t>年下降</w:t>
            </w:r>
            <w:r>
              <w:rPr>
                <w:rFonts w:cs="宋体" w:asciiTheme="minorEastAsia" w:hAnsiTheme="minorEastAsia"/>
                <w:sz w:val="24"/>
                <w:szCs w:val="24"/>
              </w:rPr>
              <w:t>1%</w:t>
            </w:r>
            <w:r>
              <w:rPr>
                <w:rFonts w:hint="eastAsia" w:cs="宋体" w:asciiTheme="minorEastAsia" w:hAnsiTheme="minorEastAsia"/>
                <w:sz w:val="24"/>
                <w:szCs w:val="24"/>
              </w:rPr>
              <w:t>真正将“节能降耗”从口号变成实际行动。</w:t>
            </w:r>
          </w:p>
          <w:p>
            <w:pPr>
              <w:widowControl/>
              <w:rPr>
                <w:rFonts w:cs="宋体" w:asciiTheme="minorEastAsia" w:hAnsiTheme="minorEastAsia"/>
                <w:sz w:val="24"/>
                <w:szCs w:val="24"/>
              </w:rPr>
            </w:pPr>
            <w:r>
              <w:rPr>
                <w:rFonts w:cs="宋体" w:asciiTheme="minorEastAsia" w:hAnsiTheme="minorEastAsia"/>
                <w:sz w:val="24"/>
                <w:szCs w:val="24"/>
              </w:rPr>
              <w:t>3</w:t>
            </w:r>
            <w:r>
              <w:rPr>
                <w:rFonts w:hint="eastAsia" w:cs="宋体" w:asciiTheme="minorEastAsia" w:hAnsiTheme="minorEastAsia"/>
                <w:sz w:val="24"/>
                <w:szCs w:val="24"/>
              </w:rPr>
              <w:t>、开展节能降耗检查。</w:t>
            </w:r>
          </w:p>
        </w:tc>
      </w:tr>
      <w:tr>
        <w:tblPrEx>
          <w:tblBorders>
            <w:top w:val="thinThickSmallGap" w:color="008080" w:sz="18" w:space="0"/>
            <w:left w:val="thinThickSmallGap" w:color="008080" w:sz="18" w:space="0"/>
            <w:bottom w:val="thickThinSmallGap" w:color="008080" w:sz="18" w:space="0"/>
            <w:right w:val="thickThinSmallGap" w:color="008080" w:sz="18" w:space="0"/>
            <w:insideH w:val="single" w:color="008080" w:sz="6" w:space="0"/>
            <w:insideV w:val="single" w:color="008080" w:sz="6" w:space="0"/>
          </w:tblBorders>
          <w:tblLayout w:type="fixed"/>
          <w:tblCellMar>
            <w:top w:w="0" w:type="dxa"/>
            <w:left w:w="108" w:type="dxa"/>
            <w:bottom w:w="0" w:type="dxa"/>
            <w:right w:w="108" w:type="dxa"/>
          </w:tblCellMar>
        </w:tblPrEx>
        <w:trPr>
          <w:trHeight w:val="1435" w:hRule="atLeast"/>
        </w:trPr>
        <w:tc>
          <w:tcPr>
            <w:tcW w:w="1379" w:type="dxa"/>
            <w:vAlign w:val="center"/>
          </w:tcPr>
          <w:p>
            <w:pPr>
              <w:widowControl/>
              <w:jc w:val="center"/>
              <w:rPr>
                <w:rFonts w:cs="宋体" w:asciiTheme="minorEastAsia" w:hAnsiTheme="minorEastAsia"/>
                <w:sz w:val="24"/>
                <w:szCs w:val="24"/>
              </w:rPr>
            </w:pPr>
            <w:r>
              <w:rPr>
                <w:rFonts w:hint="eastAsia" w:cs="宋体" w:asciiTheme="minorEastAsia" w:hAnsiTheme="minorEastAsia"/>
                <w:sz w:val="24"/>
                <w:szCs w:val="24"/>
              </w:rPr>
              <w:t>安全生产</w:t>
            </w:r>
          </w:p>
        </w:tc>
        <w:tc>
          <w:tcPr>
            <w:tcW w:w="1616" w:type="dxa"/>
            <w:vAlign w:val="center"/>
          </w:tcPr>
          <w:p>
            <w:pPr>
              <w:widowControl/>
              <w:rPr>
                <w:rFonts w:cs="宋体" w:asciiTheme="minorEastAsia" w:hAnsiTheme="minorEastAsia"/>
                <w:sz w:val="24"/>
                <w:szCs w:val="24"/>
              </w:rPr>
            </w:pPr>
            <w:r>
              <w:rPr>
                <w:rFonts w:hint="eastAsia" w:cs="宋体" w:asciiTheme="minorEastAsia" w:hAnsiTheme="minorEastAsia"/>
                <w:sz w:val="24"/>
                <w:szCs w:val="24"/>
              </w:rPr>
              <w:t>安全生产工作需要常抓不懈</w:t>
            </w:r>
          </w:p>
        </w:tc>
        <w:tc>
          <w:tcPr>
            <w:tcW w:w="5527" w:type="dxa"/>
            <w:vAlign w:val="center"/>
          </w:tcPr>
          <w:p>
            <w:pPr>
              <w:widowControl/>
              <w:rPr>
                <w:rFonts w:cs="宋体" w:asciiTheme="minorEastAsia" w:hAnsiTheme="minorEastAsia"/>
                <w:sz w:val="24"/>
                <w:szCs w:val="24"/>
              </w:rPr>
            </w:pPr>
            <w:r>
              <w:rPr>
                <w:rFonts w:hint="eastAsia" w:cs="宋体" w:asciiTheme="minorEastAsia" w:hAnsiTheme="minorEastAsia"/>
                <w:sz w:val="24"/>
                <w:szCs w:val="24"/>
              </w:rPr>
              <w:t>公司对重大危险源进行定量分析，采取有效的控制和治理措施，推进“危险辩识</w:t>
            </w:r>
            <w:r>
              <w:rPr>
                <w:rFonts w:cs="宋体" w:asciiTheme="minorEastAsia" w:hAnsiTheme="minorEastAsia"/>
                <w:sz w:val="24"/>
                <w:szCs w:val="24"/>
              </w:rPr>
              <w:t>-</w:t>
            </w:r>
            <w:r>
              <w:rPr>
                <w:rFonts w:hint="eastAsia" w:cs="宋体" w:asciiTheme="minorEastAsia" w:hAnsiTheme="minorEastAsia"/>
                <w:sz w:val="24"/>
                <w:szCs w:val="24"/>
              </w:rPr>
              <w:t>实施控制</w:t>
            </w:r>
            <w:r>
              <w:rPr>
                <w:rFonts w:cs="宋体" w:asciiTheme="minorEastAsia" w:hAnsiTheme="minorEastAsia"/>
                <w:sz w:val="24"/>
                <w:szCs w:val="24"/>
              </w:rPr>
              <w:t>-</w:t>
            </w:r>
            <w:r>
              <w:rPr>
                <w:rFonts w:hint="eastAsia" w:cs="宋体" w:asciiTheme="minorEastAsia" w:hAnsiTheme="minorEastAsia"/>
                <w:sz w:val="24"/>
                <w:szCs w:val="24"/>
              </w:rPr>
              <w:t>安全评价</w:t>
            </w:r>
            <w:r>
              <w:rPr>
                <w:rFonts w:cs="宋体" w:asciiTheme="minorEastAsia" w:hAnsiTheme="minorEastAsia"/>
                <w:sz w:val="24"/>
                <w:szCs w:val="24"/>
              </w:rPr>
              <w:t>-</w:t>
            </w:r>
            <w:r>
              <w:rPr>
                <w:rFonts w:hint="eastAsia" w:cs="宋体" w:asciiTheme="minorEastAsia" w:hAnsiTheme="minorEastAsia"/>
                <w:sz w:val="24"/>
                <w:szCs w:val="24"/>
              </w:rPr>
              <w:t>持续改进”循环管理，消除公众的安全隐忧</w:t>
            </w:r>
          </w:p>
        </w:tc>
      </w:tr>
      <w:tr>
        <w:tblPrEx>
          <w:tblBorders>
            <w:top w:val="thinThickSmallGap" w:color="008080" w:sz="18" w:space="0"/>
            <w:left w:val="thinThickSmallGap" w:color="008080" w:sz="18" w:space="0"/>
            <w:bottom w:val="thickThinSmallGap" w:color="008080" w:sz="18" w:space="0"/>
            <w:right w:val="thickThinSmallGap" w:color="008080" w:sz="18" w:space="0"/>
            <w:insideH w:val="single" w:color="008080" w:sz="6" w:space="0"/>
            <w:insideV w:val="single" w:color="008080" w:sz="6" w:space="0"/>
          </w:tblBorders>
          <w:tblLayout w:type="fixed"/>
          <w:tblCellMar>
            <w:top w:w="0" w:type="dxa"/>
            <w:left w:w="108" w:type="dxa"/>
            <w:bottom w:w="0" w:type="dxa"/>
            <w:right w:w="108" w:type="dxa"/>
          </w:tblCellMar>
        </w:tblPrEx>
        <w:trPr>
          <w:trHeight w:val="471" w:hRule="atLeast"/>
        </w:trPr>
        <w:tc>
          <w:tcPr>
            <w:tcW w:w="1379" w:type="dxa"/>
            <w:vAlign w:val="center"/>
          </w:tcPr>
          <w:p>
            <w:pPr>
              <w:widowControl/>
              <w:jc w:val="center"/>
              <w:rPr>
                <w:rFonts w:cs="宋体" w:asciiTheme="minorEastAsia" w:hAnsiTheme="minorEastAsia"/>
                <w:sz w:val="24"/>
                <w:szCs w:val="24"/>
              </w:rPr>
            </w:pPr>
            <w:r>
              <w:rPr>
                <w:rFonts w:hint="eastAsia" w:cs="宋体" w:asciiTheme="minorEastAsia" w:hAnsiTheme="minorEastAsia"/>
                <w:sz w:val="24"/>
                <w:szCs w:val="24"/>
              </w:rPr>
              <w:t>公共卫生</w:t>
            </w:r>
          </w:p>
        </w:tc>
        <w:tc>
          <w:tcPr>
            <w:tcW w:w="1616" w:type="dxa"/>
            <w:vAlign w:val="center"/>
          </w:tcPr>
          <w:p>
            <w:pPr>
              <w:widowControl/>
              <w:rPr>
                <w:rFonts w:cs="宋体" w:asciiTheme="minorEastAsia" w:hAnsiTheme="minorEastAsia"/>
                <w:sz w:val="24"/>
                <w:szCs w:val="24"/>
              </w:rPr>
            </w:pPr>
            <w:r>
              <w:rPr>
                <w:rFonts w:hint="eastAsia" w:cs="宋体" w:asciiTheme="minorEastAsia" w:hAnsiTheme="minorEastAsia"/>
                <w:sz w:val="24"/>
                <w:szCs w:val="24"/>
              </w:rPr>
              <w:t>随着《新劳动法》的实施，以员工为关注焦点将成为社会发展的新趋势</w:t>
            </w:r>
          </w:p>
        </w:tc>
        <w:tc>
          <w:tcPr>
            <w:tcW w:w="5527" w:type="dxa"/>
            <w:vAlign w:val="center"/>
          </w:tcPr>
          <w:p>
            <w:pPr>
              <w:widowControl/>
              <w:rPr>
                <w:rFonts w:cs="宋体" w:asciiTheme="minorEastAsia" w:hAnsiTheme="minorEastAsia"/>
                <w:sz w:val="24"/>
                <w:szCs w:val="24"/>
              </w:rPr>
            </w:pPr>
            <w:r>
              <w:rPr>
                <w:rFonts w:cs="宋体" w:asciiTheme="minorEastAsia" w:hAnsiTheme="minorEastAsia"/>
                <w:sz w:val="24"/>
                <w:szCs w:val="24"/>
              </w:rPr>
              <w:t>1</w:t>
            </w:r>
            <w:r>
              <w:rPr>
                <w:rFonts w:hint="eastAsia" w:cs="宋体" w:asciiTheme="minorEastAsia" w:hAnsiTheme="minorEastAsia"/>
                <w:sz w:val="24"/>
                <w:szCs w:val="24"/>
              </w:rPr>
              <w:t>、员工体检的项目重新进行识别和评价；</w:t>
            </w:r>
          </w:p>
          <w:p>
            <w:pPr>
              <w:widowControl/>
              <w:rPr>
                <w:rFonts w:cs="宋体" w:asciiTheme="minorEastAsia" w:hAnsiTheme="minorEastAsia"/>
                <w:sz w:val="24"/>
                <w:szCs w:val="24"/>
              </w:rPr>
            </w:pPr>
            <w:r>
              <w:rPr>
                <w:rFonts w:cs="宋体" w:asciiTheme="minorEastAsia" w:hAnsiTheme="minorEastAsia"/>
                <w:sz w:val="24"/>
                <w:szCs w:val="24"/>
              </w:rPr>
              <w:t>2</w:t>
            </w:r>
            <w:r>
              <w:rPr>
                <w:rFonts w:hint="eastAsia" w:cs="宋体" w:asciiTheme="minorEastAsia" w:hAnsiTheme="minorEastAsia"/>
                <w:sz w:val="24"/>
                <w:szCs w:val="24"/>
              </w:rPr>
              <w:t>、推广各种缓解工作疲劳的措施</w:t>
            </w:r>
          </w:p>
        </w:tc>
      </w:tr>
    </w:tbl>
    <w:p>
      <w:pPr>
        <w:spacing w:line="360" w:lineRule="auto"/>
        <w:rPr>
          <w:rFonts w:hint="eastAsia" w:asciiTheme="minorEastAsia" w:hAnsiTheme="minorEastAsia"/>
          <w:sz w:val="24"/>
          <w:szCs w:val="24"/>
        </w:rPr>
      </w:pPr>
      <w:r>
        <w:rPr>
          <w:rFonts w:hint="eastAsia" w:asciiTheme="minorEastAsia" w:hAnsiTheme="minorEastAsia"/>
          <w:b/>
          <w:sz w:val="24"/>
          <w:szCs w:val="24"/>
        </w:rPr>
        <w:t>1.3</w:t>
      </w:r>
      <w:r>
        <w:rPr>
          <w:rFonts w:hint="eastAsia" w:asciiTheme="minorEastAsia" w:hAnsiTheme="minorEastAsia"/>
          <w:sz w:val="24"/>
          <w:szCs w:val="24"/>
        </w:rPr>
        <w:t>质量、安全、环保是公司的生命线，公司继续强化质量、安全、环保管理，提高职工熟悉、理解、执行质量管理规章制度、法律法规的自觉性和主动性，认真贯彻</w:t>
      </w:r>
      <w:r>
        <w:rPr>
          <w:rFonts w:asciiTheme="minorEastAsia" w:hAnsiTheme="minorEastAsia"/>
          <w:sz w:val="24"/>
          <w:szCs w:val="24"/>
        </w:rPr>
        <w:t>“</w:t>
      </w:r>
      <w:r>
        <w:rPr>
          <w:rFonts w:hint="eastAsia" w:asciiTheme="minorEastAsia" w:hAnsiTheme="minorEastAsia"/>
          <w:sz w:val="24"/>
          <w:szCs w:val="24"/>
        </w:rPr>
        <w:t>安全第一、预防为主、综合治理</w:t>
      </w:r>
      <w:r>
        <w:rPr>
          <w:rFonts w:asciiTheme="minorEastAsia" w:hAnsiTheme="minorEastAsia"/>
          <w:sz w:val="24"/>
          <w:szCs w:val="24"/>
        </w:rPr>
        <w:t>”</w:t>
      </w:r>
      <w:r>
        <w:rPr>
          <w:rFonts w:hint="eastAsia" w:asciiTheme="minorEastAsia" w:hAnsiTheme="minorEastAsia"/>
          <w:sz w:val="24"/>
          <w:szCs w:val="24"/>
        </w:rPr>
        <w:t>的方针，加大培训力度，提高基层人员的安全、环保意识，确保产品质量合格、生产安全和污染物达标排放，杜绝各类事故的发生。并根据法律法规和强制标准的要求，确定关键过程和关键指标。</w:t>
      </w:r>
    </w:p>
    <w:p>
      <w:pPr>
        <w:spacing w:line="360" w:lineRule="auto"/>
        <w:rPr>
          <w:rFonts w:hint="default" w:asciiTheme="minorEastAsia" w:hAnsiTheme="minorEastAsia"/>
          <w:sz w:val="24"/>
          <w:szCs w:val="24"/>
          <w:lang w:val="en-US" w:eastAsia="zh-CN"/>
        </w:rPr>
      </w:pPr>
      <w:r>
        <w:rPr>
          <w:rFonts w:hint="eastAsia" w:asciiTheme="minorEastAsia" w:hAnsiTheme="minorEastAsia"/>
          <w:sz w:val="24"/>
          <w:szCs w:val="24"/>
          <w:lang w:val="en-US" w:eastAsia="zh-CN"/>
        </w:rPr>
        <w:t>1.4新冠疫情仍在全球流行，我国疫情防控仍处于“防外输入，内防反弹”的关键阶段，公司坚持“以人民健康为中心”抓紧抓细常态化疫情防控，持续加强人员健康管理、工作场所清洁消毒、减少聚集性活动、完善疫情防控方案，组织开展疫情防控监督检查，严格落实疫情防控措施。为了巩固疫情防控成效，尽快构筑起免疫屏障</w:t>
      </w:r>
      <w:r>
        <w:rPr>
          <w:rFonts w:hint="eastAsia" w:asciiTheme="minorEastAsia" w:hAnsiTheme="minorEastAsia"/>
          <w:sz w:val="24"/>
          <w:szCs w:val="24"/>
        </w:rPr>
        <w:t>，</w:t>
      </w:r>
      <w:r>
        <w:rPr>
          <w:rFonts w:hint="eastAsia" w:asciiTheme="minorEastAsia" w:hAnsiTheme="minorEastAsia"/>
          <w:sz w:val="24"/>
          <w:szCs w:val="24"/>
          <w:lang w:val="en-US" w:eastAsia="zh-CN"/>
        </w:rPr>
        <w:t>台谊主动联系疫苗接种点，及时掌握疫苗针剂到货情况，分批次合理安排接种计划，利用下班时间集中组织人员加班接种。目前累计除个别因身体原因不能接种外，员工接种新冠疫苗基本实现了“全覆盖”，截至目前，公司确诊病例0例，无症状感染者0例，无疑似病例，无密接者。台谊全力确保疫情常态化防控不松懈。</w:t>
      </w:r>
    </w:p>
    <w:p>
      <w:pPr>
        <w:spacing w:line="360" w:lineRule="auto"/>
        <w:jc w:val="center"/>
        <w:rPr>
          <w:rFonts w:ascii="黑体" w:hAnsi="黑体" w:eastAsia="黑体"/>
          <w:b/>
          <w:sz w:val="24"/>
          <w:szCs w:val="24"/>
        </w:rPr>
      </w:pPr>
    </w:p>
    <w:p>
      <w:pPr>
        <w:spacing w:line="360" w:lineRule="auto"/>
        <w:jc w:val="center"/>
        <w:rPr>
          <w:rFonts w:ascii="黑体" w:hAnsi="黑体" w:eastAsia="黑体"/>
          <w:b/>
          <w:sz w:val="24"/>
          <w:szCs w:val="24"/>
        </w:rPr>
      </w:pPr>
    </w:p>
    <w:p>
      <w:pPr>
        <w:spacing w:line="360" w:lineRule="auto"/>
        <w:jc w:val="center"/>
        <w:rPr>
          <w:rFonts w:ascii="黑体" w:hAnsi="黑体" w:eastAsia="黑体"/>
          <w:sz w:val="24"/>
          <w:szCs w:val="24"/>
        </w:rPr>
      </w:pPr>
      <w:r>
        <w:rPr>
          <w:rFonts w:hint="eastAsia" w:ascii="黑体" w:hAnsi="黑体" w:eastAsia="黑体"/>
          <w:b/>
          <w:sz w:val="24"/>
          <w:szCs w:val="24"/>
        </w:rPr>
        <w:t>满足法律法规要求的关键过程及指标</w:t>
      </w:r>
    </w:p>
    <w:tbl>
      <w:tblPr>
        <w:tblStyle w:val="39"/>
        <w:tblW w:w="8522" w:type="dxa"/>
        <w:tblInd w:w="0" w:type="dxa"/>
        <w:tblBorders>
          <w:top w:val="thinThickSmallGap" w:color="008080" w:sz="18" w:space="0"/>
          <w:left w:val="thinThickSmallGap" w:color="008080" w:sz="18" w:space="0"/>
          <w:bottom w:val="thickThinSmallGap" w:color="008080" w:sz="18" w:space="0"/>
          <w:right w:val="thickThinSmallGap" w:color="008080" w:sz="18" w:space="0"/>
          <w:insideH w:val="single" w:color="008080" w:sz="6" w:space="0"/>
          <w:insideV w:val="single" w:color="008080" w:sz="6" w:space="0"/>
        </w:tblBorders>
        <w:tblLayout w:type="fixed"/>
        <w:tblCellMar>
          <w:top w:w="0" w:type="dxa"/>
          <w:left w:w="108" w:type="dxa"/>
          <w:bottom w:w="0" w:type="dxa"/>
          <w:right w:w="108" w:type="dxa"/>
        </w:tblCellMar>
      </w:tblPr>
      <w:tblGrid>
        <w:gridCol w:w="1679"/>
        <w:gridCol w:w="2838"/>
        <w:gridCol w:w="4005"/>
      </w:tblGrid>
      <w:tr>
        <w:tblPrEx>
          <w:tblBorders>
            <w:top w:val="thinThickSmallGap" w:color="008080" w:sz="18" w:space="0"/>
            <w:left w:val="thinThickSmallGap" w:color="008080" w:sz="18" w:space="0"/>
            <w:bottom w:val="thickThinSmallGap" w:color="008080" w:sz="18" w:space="0"/>
            <w:right w:val="thickThinSmallGap" w:color="008080" w:sz="18" w:space="0"/>
            <w:insideH w:val="single" w:color="008080" w:sz="6" w:space="0"/>
            <w:insideV w:val="single" w:color="008080" w:sz="6" w:space="0"/>
          </w:tblBorders>
          <w:tblLayout w:type="fixed"/>
          <w:tblCellMar>
            <w:top w:w="0" w:type="dxa"/>
            <w:left w:w="108" w:type="dxa"/>
            <w:bottom w:w="0" w:type="dxa"/>
            <w:right w:w="108" w:type="dxa"/>
          </w:tblCellMar>
        </w:tblPrEx>
        <w:trPr>
          <w:trHeight w:val="393" w:hRule="atLeast"/>
        </w:trPr>
        <w:tc>
          <w:tcPr>
            <w:tcW w:w="1679" w:type="dxa"/>
            <w:vAlign w:val="center"/>
          </w:tcPr>
          <w:p>
            <w:pPr>
              <w:jc w:val="center"/>
              <w:rPr>
                <w:rFonts w:ascii="宋体"/>
                <w:b/>
                <w:sz w:val="24"/>
                <w:szCs w:val="24"/>
              </w:rPr>
            </w:pPr>
            <w:r>
              <w:rPr>
                <w:rFonts w:hint="eastAsia" w:ascii="宋体" w:hAnsi="宋体"/>
                <w:b/>
                <w:sz w:val="24"/>
                <w:szCs w:val="24"/>
              </w:rPr>
              <w:t>法律法规要求</w:t>
            </w:r>
          </w:p>
        </w:tc>
        <w:tc>
          <w:tcPr>
            <w:tcW w:w="2838" w:type="dxa"/>
            <w:vAlign w:val="center"/>
          </w:tcPr>
          <w:p>
            <w:pPr>
              <w:keepNext/>
              <w:keepLines/>
              <w:rPr>
                <w:rFonts w:ascii="宋体"/>
                <w:b/>
                <w:bCs/>
                <w:sz w:val="24"/>
                <w:szCs w:val="24"/>
              </w:rPr>
            </w:pPr>
            <w:r>
              <w:rPr>
                <w:rFonts w:hint="eastAsia" w:ascii="宋体" w:hAnsi="宋体"/>
                <w:b/>
                <w:bCs/>
                <w:sz w:val="24"/>
                <w:szCs w:val="24"/>
              </w:rPr>
              <w:t>关键过程</w:t>
            </w:r>
          </w:p>
        </w:tc>
        <w:tc>
          <w:tcPr>
            <w:tcW w:w="4005" w:type="dxa"/>
            <w:vAlign w:val="center"/>
          </w:tcPr>
          <w:p>
            <w:pPr>
              <w:keepNext/>
              <w:keepLines/>
              <w:rPr>
                <w:rFonts w:ascii="宋体"/>
                <w:b/>
                <w:bCs/>
                <w:sz w:val="24"/>
                <w:szCs w:val="24"/>
              </w:rPr>
            </w:pPr>
            <w:r>
              <w:rPr>
                <w:rFonts w:hint="eastAsia" w:ascii="宋体" w:hAnsi="宋体"/>
                <w:b/>
                <w:bCs/>
                <w:sz w:val="24"/>
                <w:szCs w:val="24"/>
              </w:rPr>
              <w:t>关键指标</w:t>
            </w:r>
          </w:p>
        </w:tc>
      </w:tr>
      <w:tr>
        <w:tblPrEx>
          <w:tblBorders>
            <w:top w:val="thinThickSmallGap" w:color="008080" w:sz="18" w:space="0"/>
            <w:left w:val="thinThickSmallGap" w:color="008080" w:sz="18" w:space="0"/>
            <w:bottom w:val="thickThinSmallGap" w:color="008080" w:sz="18" w:space="0"/>
            <w:right w:val="thickThinSmallGap" w:color="008080" w:sz="18" w:space="0"/>
            <w:insideH w:val="single" w:color="008080" w:sz="6" w:space="0"/>
            <w:insideV w:val="single" w:color="008080" w:sz="6" w:space="0"/>
          </w:tblBorders>
          <w:tblLayout w:type="fixed"/>
          <w:tblCellMar>
            <w:top w:w="0" w:type="dxa"/>
            <w:left w:w="108" w:type="dxa"/>
            <w:bottom w:w="0" w:type="dxa"/>
            <w:right w:w="108" w:type="dxa"/>
          </w:tblCellMar>
        </w:tblPrEx>
        <w:trPr>
          <w:trHeight w:val="335" w:hRule="atLeast"/>
        </w:trPr>
        <w:tc>
          <w:tcPr>
            <w:tcW w:w="1679" w:type="dxa"/>
            <w:vAlign w:val="center"/>
          </w:tcPr>
          <w:p>
            <w:pPr>
              <w:jc w:val="center"/>
              <w:rPr>
                <w:rFonts w:ascii="宋体"/>
                <w:b/>
                <w:sz w:val="24"/>
                <w:szCs w:val="24"/>
              </w:rPr>
            </w:pPr>
            <w:r>
              <w:rPr>
                <w:rFonts w:hint="eastAsia" w:ascii="宋体" w:hAnsi="宋体"/>
                <w:b/>
                <w:sz w:val="24"/>
                <w:szCs w:val="24"/>
              </w:rPr>
              <w:t>质</w:t>
            </w:r>
            <w:r>
              <w:rPr>
                <w:rFonts w:ascii="宋体" w:hAnsi="宋体"/>
                <w:b/>
                <w:sz w:val="24"/>
                <w:szCs w:val="24"/>
              </w:rPr>
              <w:t xml:space="preserve">   </w:t>
            </w:r>
            <w:r>
              <w:rPr>
                <w:rFonts w:hint="eastAsia" w:ascii="宋体" w:hAnsi="宋体"/>
                <w:b/>
                <w:sz w:val="24"/>
                <w:szCs w:val="24"/>
              </w:rPr>
              <w:t>量</w:t>
            </w:r>
          </w:p>
        </w:tc>
        <w:tc>
          <w:tcPr>
            <w:tcW w:w="2838" w:type="dxa"/>
            <w:vAlign w:val="center"/>
          </w:tcPr>
          <w:p>
            <w:pPr>
              <w:keepNext/>
              <w:keepLines/>
              <w:rPr>
                <w:rFonts w:ascii="宋体"/>
                <w:bCs/>
                <w:sz w:val="24"/>
                <w:szCs w:val="24"/>
              </w:rPr>
            </w:pPr>
            <w:r>
              <w:rPr>
                <w:rFonts w:hint="eastAsia" w:ascii="宋体" w:hAnsi="宋体"/>
                <w:bCs/>
                <w:sz w:val="24"/>
                <w:szCs w:val="24"/>
              </w:rPr>
              <w:t>满足合同要求</w:t>
            </w:r>
            <w:r>
              <w:rPr>
                <w:rFonts w:ascii="宋体" w:hAnsi="宋体"/>
                <w:bCs/>
                <w:sz w:val="24"/>
                <w:szCs w:val="24"/>
              </w:rPr>
              <w:t xml:space="preserve"> </w:t>
            </w:r>
          </w:p>
        </w:tc>
        <w:tc>
          <w:tcPr>
            <w:tcW w:w="4005" w:type="dxa"/>
            <w:vAlign w:val="center"/>
          </w:tcPr>
          <w:p>
            <w:pPr>
              <w:keepNext/>
              <w:keepLines/>
              <w:rPr>
                <w:rFonts w:ascii="宋体"/>
                <w:bCs/>
                <w:sz w:val="24"/>
                <w:szCs w:val="24"/>
              </w:rPr>
            </w:pPr>
            <w:r>
              <w:rPr>
                <w:rFonts w:hint="eastAsia" w:ascii="宋体" w:hAnsi="宋体"/>
                <w:bCs/>
                <w:sz w:val="24"/>
                <w:szCs w:val="24"/>
              </w:rPr>
              <w:t>合同履约率</w:t>
            </w:r>
            <w:r>
              <w:rPr>
                <w:rFonts w:ascii="宋体" w:hAnsi="宋体"/>
                <w:bCs/>
                <w:sz w:val="24"/>
                <w:szCs w:val="24"/>
              </w:rPr>
              <w:t>100</w:t>
            </w:r>
            <w:r>
              <w:rPr>
                <w:rFonts w:hint="eastAsia" w:ascii="宋体" w:hAnsi="宋体"/>
                <w:bCs/>
                <w:sz w:val="24"/>
                <w:szCs w:val="24"/>
              </w:rPr>
              <w:t>﹪</w:t>
            </w:r>
          </w:p>
        </w:tc>
      </w:tr>
      <w:tr>
        <w:tblPrEx>
          <w:tblBorders>
            <w:top w:val="thinThickSmallGap" w:color="008080" w:sz="18" w:space="0"/>
            <w:left w:val="thinThickSmallGap" w:color="008080" w:sz="18" w:space="0"/>
            <w:bottom w:val="thickThinSmallGap" w:color="008080" w:sz="18" w:space="0"/>
            <w:right w:val="thickThinSmallGap" w:color="008080" w:sz="18" w:space="0"/>
            <w:insideH w:val="single" w:color="008080" w:sz="6" w:space="0"/>
            <w:insideV w:val="single" w:color="008080" w:sz="6" w:space="0"/>
          </w:tblBorders>
          <w:tblLayout w:type="fixed"/>
          <w:tblCellMar>
            <w:top w:w="0" w:type="dxa"/>
            <w:left w:w="108" w:type="dxa"/>
            <w:bottom w:w="0" w:type="dxa"/>
            <w:right w:w="108" w:type="dxa"/>
          </w:tblCellMar>
        </w:tblPrEx>
        <w:trPr>
          <w:trHeight w:val="295" w:hRule="atLeast"/>
        </w:trPr>
        <w:tc>
          <w:tcPr>
            <w:tcW w:w="1679" w:type="dxa"/>
            <w:vAlign w:val="center"/>
          </w:tcPr>
          <w:p>
            <w:pPr>
              <w:jc w:val="center"/>
              <w:rPr>
                <w:rFonts w:ascii="宋体"/>
                <w:b/>
                <w:sz w:val="24"/>
                <w:szCs w:val="24"/>
              </w:rPr>
            </w:pPr>
            <w:r>
              <w:rPr>
                <w:rFonts w:hint="eastAsia" w:ascii="宋体" w:hAnsi="宋体"/>
                <w:b/>
                <w:sz w:val="24"/>
                <w:szCs w:val="24"/>
              </w:rPr>
              <w:t>安</w:t>
            </w:r>
            <w:r>
              <w:rPr>
                <w:rFonts w:ascii="宋体" w:hAnsi="宋体"/>
                <w:b/>
                <w:sz w:val="24"/>
                <w:szCs w:val="24"/>
              </w:rPr>
              <w:t xml:space="preserve">   </w:t>
            </w:r>
            <w:r>
              <w:rPr>
                <w:rFonts w:hint="eastAsia" w:ascii="宋体" w:hAnsi="宋体"/>
                <w:b/>
                <w:sz w:val="24"/>
                <w:szCs w:val="24"/>
              </w:rPr>
              <w:t>全</w:t>
            </w:r>
          </w:p>
        </w:tc>
        <w:tc>
          <w:tcPr>
            <w:tcW w:w="2838" w:type="dxa"/>
            <w:vAlign w:val="center"/>
          </w:tcPr>
          <w:p>
            <w:pPr>
              <w:keepNext/>
              <w:keepLines/>
              <w:rPr>
                <w:rFonts w:ascii="宋体"/>
                <w:bCs/>
                <w:sz w:val="24"/>
                <w:szCs w:val="24"/>
              </w:rPr>
            </w:pPr>
            <w:r>
              <w:rPr>
                <w:rFonts w:hint="eastAsia" w:ascii="宋体" w:hAnsi="宋体"/>
                <w:bCs/>
                <w:sz w:val="24"/>
                <w:szCs w:val="24"/>
              </w:rPr>
              <w:t>死亡、重伤、火灾、轻伤控制</w:t>
            </w:r>
          </w:p>
        </w:tc>
        <w:tc>
          <w:tcPr>
            <w:tcW w:w="4005" w:type="dxa"/>
            <w:vAlign w:val="center"/>
          </w:tcPr>
          <w:p>
            <w:pPr>
              <w:keepNext/>
              <w:keepLines/>
              <w:rPr>
                <w:rFonts w:ascii="宋体"/>
                <w:bCs/>
                <w:sz w:val="24"/>
                <w:szCs w:val="24"/>
              </w:rPr>
            </w:pPr>
            <w:r>
              <w:rPr>
                <w:rFonts w:hint="eastAsia" w:ascii="宋体" w:hAnsi="宋体"/>
                <w:bCs/>
                <w:sz w:val="24"/>
                <w:szCs w:val="24"/>
              </w:rPr>
              <w:t>死亡率为</w:t>
            </w:r>
            <w:r>
              <w:rPr>
                <w:rFonts w:ascii="宋体"/>
                <w:bCs/>
                <w:sz w:val="24"/>
                <w:szCs w:val="24"/>
              </w:rPr>
              <w:t>0</w:t>
            </w:r>
            <w:r>
              <w:rPr>
                <w:rFonts w:hint="eastAsia" w:ascii="宋体"/>
                <w:bCs/>
                <w:sz w:val="24"/>
                <w:szCs w:val="24"/>
              </w:rPr>
              <w:t>，</w:t>
            </w:r>
            <w:r>
              <w:rPr>
                <w:rFonts w:hint="eastAsia" w:ascii="宋体" w:hAnsi="宋体"/>
                <w:bCs/>
                <w:sz w:val="24"/>
                <w:szCs w:val="24"/>
              </w:rPr>
              <w:t>重伤、重大事故为</w:t>
            </w:r>
            <w:r>
              <w:rPr>
                <w:rFonts w:ascii="宋体"/>
                <w:bCs/>
                <w:sz w:val="24"/>
                <w:szCs w:val="24"/>
              </w:rPr>
              <w:t>0</w:t>
            </w:r>
            <w:r>
              <w:rPr>
                <w:rFonts w:hint="eastAsia" w:ascii="宋体"/>
                <w:bCs/>
                <w:sz w:val="24"/>
                <w:szCs w:val="24"/>
              </w:rPr>
              <w:t>，</w:t>
            </w:r>
            <w:r>
              <w:rPr>
                <w:rFonts w:hint="eastAsia" w:ascii="宋体" w:hAnsi="宋体"/>
                <w:bCs/>
                <w:sz w:val="24"/>
                <w:szCs w:val="24"/>
              </w:rPr>
              <w:t>轻伤率≤3‰</w:t>
            </w:r>
          </w:p>
        </w:tc>
      </w:tr>
      <w:tr>
        <w:tblPrEx>
          <w:tblBorders>
            <w:top w:val="thinThickSmallGap" w:color="008080" w:sz="18" w:space="0"/>
            <w:left w:val="thinThickSmallGap" w:color="008080" w:sz="18" w:space="0"/>
            <w:bottom w:val="thickThinSmallGap" w:color="008080" w:sz="18" w:space="0"/>
            <w:right w:val="thickThinSmallGap" w:color="008080" w:sz="18" w:space="0"/>
            <w:insideH w:val="single" w:color="008080" w:sz="6" w:space="0"/>
            <w:insideV w:val="single" w:color="008080" w:sz="6" w:space="0"/>
          </w:tblBorders>
          <w:tblLayout w:type="fixed"/>
          <w:tblCellMar>
            <w:top w:w="0" w:type="dxa"/>
            <w:left w:w="108" w:type="dxa"/>
            <w:bottom w:w="0" w:type="dxa"/>
            <w:right w:w="108" w:type="dxa"/>
          </w:tblCellMar>
        </w:tblPrEx>
        <w:trPr>
          <w:trHeight w:val="344" w:hRule="atLeast"/>
        </w:trPr>
        <w:tc>
          <w:tcPr>
            <w:tcW w:w="1679" w:type="dxa"/>
            <w:vAlign w:val="center"/>
          </w:tcPr>
          <w:p>
            <w:pPr>
              <w:jc w:val="center"/>
              <w:rPr>
                <w:rFonts w:ascii="宋体"/>
                <w:b/>
                <w:sz w:val="24"/>
                <w:szCs w:val="24"/>
              </w:rPr>
            </w:pPr>
            <w:r>
              <w:rPr>
                <w:rFonts w:hint="eastAsia" w:ascii="宋体" w:hAnsi="宋体"/>
                <w:b/>
                <w:sz w:val="24"/>
                <w:szCs w:val="24"/>
              </w:rPr>
              <w:t>环</w:t>
            </w:r>
            <w:r>
              <w:rPr>
                <w:rFonts w:ascii="宋体" w:hAnsi="宋体"/>
                <w:b/>
                <w:sz w:val="24"/>
                <w:szCs w:val="24"/>
              </w:rPr>
              <w:t xml:space="preserve">   </w:t>
            </w:r>
            <w:r>
              <w:rPr>
                <w:rFonts w:hint="eastAsia" w:ascii="宋体" w:hAnsi="宋体"/>
                <w:b/>
                <w:sz w:val="24"/>
                <w:szCs w:val="24"/>
              </w:rPr>
              <w:t>保</w:t>
            </w:r>
          </w:p>
        </w:tc>
        <w:tc>
          <w:tcPr>
            <w:tcW w:w="2838" w:type="dxa"/>
            <w:vAlign w:val="center"/>
          </w:tcPr>
          <w:p>
            <w:pPr>
              <w:keepNext/>
              <w:keepLines/>
              <w:rPr>
                <w:rFonts w:ascii="宋体"/>
                <w:bCs/>
                <w:sz w:val="24"/>
                <w:szCs w:val="24"/>
              </w:rPr>
            </w:pPr>
            <w:r>
              <w:rPr>
                <w:rFonts w:hint="eastAsia" w:ascii="宋体" w:hAnsi="宋体"/>
                <w:bCs/>
                <w:sz w:val="24"/>
                <w:szCs w:val="24"/>
              </w:rPr>
              <w:t>环境污染排放控制</w:t>
            </w:r>
          </w:p>
        </w:tc>
        <w:tc>
          <w:tcPr>
            <w:tcW w:w="4005" w:type="dxa"/>
            <w:vAlign w:val="center"/>
          </w:tcPr>
          <w:p>
            <w:pPr>
              <w:keepNext/>
              <w:keepLines/>
              <w:rPr>
                <w:rFonts w:ascii="宋体"/>
                <w:bCs/>
                <w:sz w:val="24"/>
                <w:szCs w:val="24"/>
              </w:rPr>
            </w:pPr>
            <w:r>
              <w:rPr>
                <w:rFonts w:hint="eastAsia" w:ascii="宋体" w:hAnsi="宋体"/>
                <w:bCs/>
                <w:sz w:val="24"/>
                <w:szCs w:val="24"/>
              </w:rPr>
              <w:t>环境排放达标</w:t>
            </w:r>
          </w:p>
        </w:tc>
      </w:tr>
    </w:tbl>
    <w:p>
      <w:pPr>
        <w:pStyle w:val="4"/>
        <w:spacing w:line="360" w:lineRule="auto"/>
        <w:rPr>
          <w:rFonts w:ascii="宋体" w:hAnsi="宋体"/>
          <w:b w:val="0"/>
          <w:sz w:val="24"/>
          <w:szCs w:val="24"/>
        </w:rPr>
      </w:pPr>
      <w:bookmarkStart w:id="5" w:name="_Toc370203525"/>
      <w:r>
        <w:rPr>
          <w:rFonts w:hint="eastAsia" w:ascii="宋体" w:hAnsi="宋体"/>
          <w:sz w:val="24"/>
          <w:szCs w:val="24"/>
        </w:rPr>
        <w:t>2、道德行为</w:t>
      </w:r>
      <w:bookmarkEnd w:id="5"/>
    </w:p>
    <w:p>
      <w:pPr>
        <w:spacing w:line="360" w:lineRule="auto"/>
        <w:jc w:val="left"/>
        <w:rPr>
          <w:rFonts w:asciiTheme="minorEastAsia" w:hAnsiTheme="minorEastAsia"/>
          <w:sz w:val="24"/>
          <w:szCs w:val="24"/>
        </w:rPr>
      </w:pPr>
      <w:r>
        <w:rPr>
          <w:rFonts w:hint="eastAsia" w:asciiTheme="minorEastAsia" w:hAnsiTheme="minorEastAsia"/>
          <w:sz w:val="24"/>
          <w:szCs w:val="24"/>
        </w:rPr>
        <w:t>2.1公司一直坚持“信用为本、互惠双赢、共享价值”的诚信经营理念，建立了一整套信用道德规范、信用行为评价标准等一系列信用道德管理体系，正确处理好与企业、合作者、公众和社会之间的关系，做到讲道德、守信用、遵合同、依法纪。公司被评为“浙江省工商企业信用</w:t>
      </w:r>
      <w:r>
        <w:rPr>
          <w:rFonts w:asciiTheme="minorEastAsia" w:hAnsiTheme="minorEastAsia"/>
          <w:sz w:val="24"/>
          <w:szCs w:val="24"/>
        </w:rPr>
        <w:t>A</w:t>
      </w:r>
      <w:r>
        <w:rPr>
          <w:rFonts w:hint="eastAsia" w:asciiTheme="minorEastAsia" w:hAnsiTheme="minorEastAsia"/>
          <w:sz w:val="24"/>
          <w:szCs w:val="24"/>
        </w:rPr>
        <w:t>级守合同重信用单位”。</w:t>
      </w:r>
      <w:r>
        <w:rPr>
          <w:rFonts w:asciiTheme="minorEastAsia" w:hAnsiTheme="minorEastAsia"/>
          <w:sz w:val="24"/>
          <w:szCs w:val="24"/>
        </w:rPr>
        <w:t xml:space="preserve">    </w:t>
      </w:r>
    </w:p>
    <w:p>
      <w:pPr>
        <w:spacing w:line="360" w:lineRule="auto"/>
        <w:ind w:firstLine="484" w:firstLineChars="202"/>
        <w:rPr>
          <w:rFonts w:asciiTheme="minorEastAsia" w:hAnsiTheme="minorEastAsia"/>
          <w:sz w:val="24"/>
          <w:szCs w:val="24"/>
        </w:rPr>
      </w:pPr>
      <w:r>
        <w:rPr>
          <w:rFonts w:hint="eastAsia" w:asciiTheme="minorEastAsia" w:hAnsiTheme="minorEastAsia"/>
          <w:sz w:val="24"/>
          <w:szCs w:val="24"/>
        </w:rPr>
        <w:t>2.1.1</w:t>
      </w:r>
      <w:r>
        <w:rPr>
          <w:rFonts w:asciiTheme="minorEastAsia" w:hAnsiTheme="minorEastAsia"/>
          <w:sz w:val="24"/>
          <w:szCs w:val="24"/>
        </w:rPr>
        <w:t>.</w:t>
      </w:r>
      <w:r>
        <w:rPr>
          <w:rFonts w:hint="eastAsia" w:asciiTheme="minorEastAsia" w:hAnsiTheme="minorEastAsia"/>
          <w:sz w:val="24"/>
          <w:szCs w:val="24"/>
        </w:rPr>
        <w:t>为规范员工职业行为，树立廉洁从业、勤勉敬业的良好风气，公司制订了一系列道德行为准则，组织员工认真学习《员工手册》，遵守公司的职业道德和行为准则。</w:t>
      </w:r>
    </w:p>
    <w:p>
      <w:pPr>
        <w:spacing w:line="360" w:lineRule="auto"/>
        <w:ind w:firstLine="484" w:firstLineChars="202"/>
        <w:rPr>
          <w:rFonts w:asciiTheme="minorEastAsia" w:hAnsiTheme="minorEastAsia"/>
          <w:sz w:val="24"/>
          <w:szCs w:val="24"/>
        </w:rPr>
      </w:pPr>
      <w:r>
        <w:rPr>
          <w:rFonts w:hint="eastAsia" w:asciiTheme="minorEastAsia" w:hAnsiTheme="minorEastAsia"/>
          <w:sz w:val="24"/>
          <w:szCs w:val="24"/>
        </w:rPr>
        <w:t>2.1.</w:t>
      </w:r>
      <w:r>
        <w:rPr>
          <w:rFonts w:asciiTheme="minorEastAsia" w:hAnsiTheme="minorEastAsia"/>
          <w:sz w:val="24"/>
          <w:szCs w:val="24"/>
        </w:rPr>
        <w:t>2.</w:t>
      </w:r>
      <w:r>
        <w:rPr>
          <w:rFonts w:hint="eastAsia" w:asciiTheme="minorEastAsia" w:hAnsiTheme="minorEastAsia"/>
          <w:sz w:val="24"/>
          <w:szCs w:val="24"/>
        </w:rPr>
        <w:t>公司设立专门的法律工作机构和审计部门，每年、每月开展审计和法律法规教育、咨询工作，对公司各部门的经营行为、业务往来进行规范、指导和监督把关，依法经营，提高职工守法观念。</w:t>
      </w:r>
    </w:p>
    <w:p>
      <w:pPr>
        <w:spacing w:line="360" w:lineRule="auto"/>
        <w:ind w:firstLine="484" w:firstLineChars="202"/>
        <w:rPr>
          <w:rFonts w:asciiTheme="minorEastAsia" w:hAnsiTheme="minorEastAsia"/>
          <w:sz w:val="24"/>
          <w:szCs w:val="24"/>
        </w:rPr>
      </w:pPr>
      <w:r>
        <w:rPr>
          <w:rFonts w:hint="eastAsia" w:asciiTheme="minorEastAsia" w:hAnsiTheme="minorEastAsia"/>
          <w:sz w:val="24"/>
          <w:szCs w:val="24"/>
        </w:rPr>
        <w:t>2.1.</w:t>
      </w:r>
      <w:r>
        <w:rPr>
          <w:rFonts w:asciiTheme="minorEastAsia" w:hAnsiTheme="minorEastAsia"/>
          <w:sz w:val="24"/>
          <w:szCs w:val="24"/>
        </w:rPr>
        <w:t>3</w:t>
      </w:r>
      <w:r>
        <w:rPr>
          <w:rFonts w:hint="eastAsia" w:asciiTheme="minorEastAsia" w:hAnsiTheme="minorEastAsia"/>
          <w:sz w:val="24"/>
          <w:szCs w:val="24"/>
        </w:rPr>
        <w:t>.从意识、行为上加以教育、引导，严格要求品行。公司以“德才兼备以德为先，靠得住、有本事”的标准去选好人、用好人、育好人、发展人，努力培育一支“忠于台谊，思想上进，敬业爱岗”的台谊团队，任何人违犯国法、触犯台谊“高压线”，一律严惩不贷。</w:t>
      </w:r>
    </w:p>
    <w:p>
      <w:pPr>
        <w:spacing w:line="360" w:lineRule="auto"/>
        <w:ind w:firstLine="426"/>
        <w:rPr>
          <w:rFonts w:asciiTheme="minorEastAsia" w:hAnsiTheme="minorEastAsia"/>
          <w:sz w:val="24"/>
          <w:szCs w:val="24"/>
        </w:rPr>
      </w:pPr>
      <w:r>
        <w:rPr>
          <w:rFonts w:hint="eastAsia" w:asciiTheme="minorEastAsia" w:hAnsiTheme="minorEastAsia"/>
          <w:sz w:val="24"/>
          <w:szCs w:val="24"/>
        </w:rPr>
        <w:t>2.1.</w:t>
      </w:r>
      <w:r>
        <w:rPr>
          <w:rFonts w:asciiTheme="minorEastAsia" w:hAnsiTheme="minorEastAsia"/>
          <w:sz w:val="24"/>
          <w:szCs w:val="24"/>
        </w:rPr>
        <w:t>4</w:t>
      </w:r>
      <w:r>
        <w:rPr>
          <w:rFonts w:hint="eastAsia" w:asciiTheme="minorEastAsia" w:hAnsiTheme="minorEastAsia"/>
          <w:sz w:val="24"/>
          <w:szCs w:val="24"/>
        </w:rPr>
        <w:t>.遵守社会道德规范，诚信经营，遵纪守法。正确处理好与顾客、投资者、合作伙伴、银行、公众等关系，做到重信誉、重承诺、重合同、守信用，精诚合作、互惠双赢。</w:t>
      </w:r>
    </w:p>
    <w:p>
      <w:pPr>
        <w:spacing w:line="360" w:lineRule="auto"/>
        <w:rPr>
          <w:rFonts w:asciiTheme="minorEastAsia" w:hAnsiTheme="minorEastAsia"/>
          <w:sz w:val="24"/>
          <w:szCs w:val="24"/>
        </w:rPr>
      </w:pPr>
      <w:r>
        <w:rPr>
          <w:rFonts w:hint="eastAsia" w:asciiTheme="minorEastAsia" w:hAnsiTheme="minorEastAsia"/>
          <w:b/>
          <w:sz w:val="24"/>
          <w:szCs w:val="24"/>
        </w:rPr>
        <w:t>2.2</w:t>
      </w:r>
      <w:r>
        <w:rPr>
          <w:rFonts w:hint="eastAsia" w:asciiTheme="minorEastAsia" w:hAnsiTheme="minorEastAsia"/>
          <w:sz w:val="24"/>
          <w:szCs w:val="24"/>
        </w:rPr>
        <w:t>公司建立对道德行为实行监督的测量方法和指标见图表</w:t>
      </w:r>
    </w:p>
    <w:p>
      <w:pPr>
        <w:adjustRightInd w:val="0"/>
        <w:snapToGrid w:val="0"/>
        <w:ind w:firstLine="482"/>
        <w:jc w:val="center"/>
        <w:rPr>
          <w:rFonts w:asciiTheme="minorEastAsia" w:hAnsiTheme="minorEastAsia"/>
          <w:b/>
          <w:sz w:val="24"/>
          <w:szCs w:val="24"/>
        </w:rPr>
      </w:pPr>
    </w:p>
    <w:p>
      <w:pPr>
        <w:spacing w:line="360" w:lineRule="auto"/>
        <w:ind w:firstLine="480"/>
        <w:jc w:val="center"/>
        <w:rPr>
          <w:rFonts w:asciiTheme="minorEastAsia" w:hAnsiTheme="minorEastAsia"/>
          <w:b/>
          <w:sz w:val="24"/>
          <w:szCs w:val="24"/>
        </w:rPr>
      </w:pPr>
      <w:r>
        <w:rPr>
          <w:rFonts w:hint="eastAsia" w:asciiTheme="minorEastAsia" w:hAnsiTheme="minorEastAsia"/>
          <w:b/>
          <w:sz w:val="24"/>
          <w:szCs w:val="24"/>
        </w:rPr>
        <w:t>道德行为控制的测量方法和指标</w:t>
      </w:r>
    </w:p>
    <w:tbl>
      <w:tblPr>
        <w:tblStyle w:val="39"/>
        <w:tblW w:w="8522" w:type="dxa"/>
        <w:tblInd w:w="0" w:type="dxa"/>
        <w:tblBorders>
          <w:top w:val="thinThickSmallGap" w:color="008080" w:sz="18" w:space="0"/>
          <w:left w:val="thinThickSmallGap" w:color="008080" w:sz="18" w:space="0"/>
          <w:bottom w:val="thickThinSmallGap" w:color="008080" w:sz="18" w:space="0"/>
          <w:right w:val="thickThinSmallGap" w:color="008080" w:sz="18" w:space="0"/>
          <w:insideH w:val="single" w:color="008080" w:sz="6" w:space="0"/>
          <w:insideV w:val="single" w:color="008080" w:sz="6" w:space="0"/>
        </w:tblBorders>
        <w:tblLayout w:type="fixed"/>
        <w:tblCellMar>
          <w:top w:w="0" w:type="dxa"/>
          <w:left w:w="108" w:type="dxa"/>
          <w:bottom w:w="0" w:type="dxa"/>
          <w:right w:w="108" w:type="dxa"/>
        </w:tblCellMar>
      </w:tblPr>
      <w:tblGrid>
        <w:gridCol w:w="1101"/>
        <w:gridCol w:w="2125"/>
        <w:gridCol w:w="1648"/>
        <w:gridCol w:w="2190"/>
        <w:gridCol w:w="1458"/>
      </w:tblGrid>
      <w:tr>
        <w:tblPrEx>
          <w:tblBorders>
            <w:top w:val="thinThickSmallGap" w:color="008080" w:sz="18" w:space="0"/>
            <w:left w:val="thinThickSmallGap" w:color="008080" w:sz="18" w:space="0"/>
            <w:bottom w:val="thickThinSmallGap" w:color="008080" w:sz="18" w:space="0"/>
            <w:right w:val="thickThinSmallGap" w:color="008080" w:sz="18" w:space="0"/>
            <w:insideH w:val="single" w:color="008080" w:sz="6" w:space="0"/>
            <w:insideV w:val="single" w:color="008080" w:sz="6" w:space="0"/>
          </w:tblBorders>
          <w:tblLayout w:type="fixed"/>
          <w:tblCellMar>
            <w:top w:w="0" w:type="dxa"/>
            <w:left w:w="108" w:type="dxa"/>
            <w:bottom w:w="0" w:type="dxa"/>
            <w:right w:w="108" w:type="dxa"/>
          </w:tblCellMar>
        </w:tblPrEx>
        <w:trPr>
          <w:trHeight w:val="471" w:hRule="atLeast"/>
          <w:tblHeader/>
        </w:trPr>
        <w:tc>
          <w:tcPr>
            <w:tcW w:w="1101" w:type="dxa"/>
            <w:shd w:val="clear" w:color="auto" w:fill="auto"/>
            <w:vAlign w:val="center"/>
          </w:tcPr>
          <w:p>
            <w:pPr>
              <w:widowControl/>
              <w:jc w:val="center"/>
              <w:rPr>
                <w:rFonts w:cs="宋体" w:asciiTheme="minorEastAsia" w:hAnsiTheme="minorEastAsia"/>
                <w:b/>
                <w:sz w:val="24"/>
                <w:szCs w:val="24"/>
              </w:rPr>
            </w:pPr>
            <w:r>
              <w:rPr>
                <w:rFonts w:hint="eastAsia" w:cs="宋体" w:asciiTheme="minorEastAsia" w:hAnsiTheme="minorEastAsia"/>
                <w:b/>
                <w:sz w:val="24"/>
                <w:szCs w:val="24"/>
              </w:rPr>
              <w:t>控制项目</w:t>
            </w:r>
          </w:p>
        </w:tc>
        <w:tc>
          <w:tcPr>
            <w:tcW w:w="2125" w:type="dxa"/>
            <w:shd w:val="clear" w:color="auto" w:fill="auto"/>
            <w:vAlign w:val="center"/>
          </w:tcPr>
          <w:p>
            <w:pPr>
              <w:widowControl/>
              <w:jc w:val="center"/>
              <w:rPr>
                <w:rFonts w:cs="宋体" w:asciiTheme="minorEastAsia" w:hAnsiTheme="minorEastAsia"/>
                <w:b/>
                <w:sz w:val="24"/>
                <w:szCs w:val="24"/>
              </w:rPr>
            </w:pPr>
            <w:r>
              <w:rPr>
                <w:rFonts w:hint="eastAsia" w:cs="宋体" w:asciiTheme="minorEastAsia" w:hAnsiTheme="minorEastAsia"/>
                <w:b/>
                <w:sz w:val="24"/>
                <w:szCs w:val="24"/>
              </w:rPr>
              <w:t>影响指标</w:t>
            </w:r>
          </w:p>
        </w:tc>
        <w:tc>
          <w:tcPr>
            <w:tcW w:w="1648" w:type="dxa"/>
            <w:shd w:val="clear" w:color="auto" w:fill="auto"/>
            <w:vAlign w:val="center"/>
          </w:tcPr>
          <w:p>
            <w:pPr>
              <w:widowControl/>
              <w:jc w:val="center"/>
              <w:rPr>
                <w:rFonts w:cs="宋体" w:asciiTheme="minorEastAsia" w:hAnsiTheme="minorEastAsia"/>
                <w:b/>
                <w:sz w:val="24"/>
                <w:szCs w:val="24"/>
              </w:rPr>
            </w:pPr>
            <w:r>
              <w:rPr>
                <w:rFonts w:hint="eastAsia" w:cs="宋体" w:asciiTheme="minorEastAsia" w:hAnsiTheme="minorEastAsia"/>
                <w:b/>
                <w:sz w:val="24"/>
                <w:szCs w:val="24"/>
              </w:rPr>
              <w:t>指标目标</w:t>
            </w:r>
          </w:p>
        </w:tc>
        <w:tc>
          <w:tcPr>
            <w:tcW w:w="2190" w:type="dxa"/>
            <w:shd w:val="clear" w:color="auto" w:fill="auto"/>
            <w:vAlign w:val="center"/>
          </w:tcPr>
          <w:p>
            <w:pPr>
              <w:widowControl/>
              <w:jc w:val="center"/>
              <w:rPr>
                <w:rFonts w:cs="宋体" w:asciiTheme="minorEastAsia" w:hAnsiTheme="minorEastAsia"/>
                <w:b/>
                <w:sz w:val="24"/>
                <w:szCs w:val="24"/>
              </w:rPr>
            </w:pPr>
            <w:r>
              <w:rPr>
                <w:rFonts w:hint="eastAsia" w:cs="宋体" w:asciiTheme="minorEastAsia" w:hAnsiTheme="minorEastAsia"/>
                <w:b/>
                <w:sz w:val="24"/>
                <w:szCs w:val="24"/>
              </w:rPr>
              <w:t>测量方法</w:t>
            </w:r>
          </w:p>
        </w:tc>
        <w:tc>
          <w:tcPr>
            <w:tcW w:w="1458" w:type="dxa"/>
            <w:shd w:val="clear" w:color="auto" w:fill="auto"/>
            <w:vAlign w:val="center"/>
          </w:tcPr>
          <w:p>
            <w:pPr>
              <w:widowControl/>
              <w:jc w:val="center"/>
              <w:rPr>
                <w:rFonts w:cs="宋体" w:asciiTheme="minorEastAsia" w:hAnsiTheme="minorEastAsia"/>
                <w:b/>
                <w:sz w:val="24"/>
                <w:szCs w:val="24"/>
              </w:rPr>
            </w:pPr>
            <w:r>
              <w:rPr>
                <w:rFonts w:hint="eastAsia" w:cs="宋体" w:asciiTheme="minorEastAsia" w:hAnsiTheme="minorEastAsia"/>
                <w:b/>
                <w:sz w:val="24"/>
                <w:szCs w:val="24"/>
              </w:rPr>
              <w:t>负责部门</w:t>
            </w:r>
          </w:p>
        </w:tc>
      </w:tr>
      <w:tr>
        <w:tblPrEx>
          <w:tblBorders>
            <w:top w:val="thinThickSmallGap" w:color="008080" w:sz="18" w:space="0"/>
            <w:left w:val="thinThickSmallGap" w:color="008080" w:sz="18" w:space="0"/>
            <w:bottom w:val="thickThinSmallGap" w:color="008080" w:sz="18" w:space="0"/>
            <w:right w:val="thickThinSmallGap" w:color="008080" w:sz="18" w:space="0"/>
            <w:insideH w:val="single" w:color="008080" w:sz="6" w:space="0"/>
            <w:insideV w:val="single" w:color="008080" w:sz="6" w:space="0"/>
          </w:tblBorders>
          <w:tblLayout w:type="fixed"/>
          <w:tblCellMar>
            <w:top w:w="0" w:type="dxa"/>
            <w:left w:w="108" w:type="dxa"/>
            <w:bottom w:w="0" w:type="dxa"/>
            <w:right w:w="108" w:type="dxa"/>
          </w:tblCellMar>
        </w:tblPrEx>
        <w:trPr>
          <w:trHeight w:val="249" w:hRule="atLeast"/>
        </w:trPr>
        <w:tc>
          <w:tcPr>
            <w:tcW w:w="1101" w:type="dxa"/>
            <w:vMerge w:val="restart"/>
            <w:vAlign w:val="center"/>
          </w:tcPr>
          <w:p>
            <w:pPr>
              <w:widowControl/>
              <w:jc w:val="center"/>
              <w:rPr>
                <w:rFonts w:cs="宋体" w:asciiTheme="minorEastAsia" w:hAnsiTheme="minorEastAsia"/>
                <w:sz w:val="24"/>
                <w:szCs w:val="24"/>
              </w:rPr>
            </w:pPr>
            <w:r>
              <w:rPr>
                <w:rFonts w:hint="eastAsia" w:cs="宋体" w:asciiTheme="minorEastAsia" w:hAnsiTheme="minorEastAsia"/>
                <w:sz w:val="24"/>
                <w:szCs w:val="24"/>
              </w:rPr>
              <w:t>诚信</w:t>
            </w:r>
          </w:p>
          <w:p>
            <w:pPr>
              <w:widowControl/>
              <w:jc w:val="center"/>
              <w:rPr>
                <w:rFonts w:cs="宋体" w:asciiTheme="minorEastAsia" w:hAnsiTheme="minorEastAsia"/>
                <w:sz w:val="24"/>
                <w:szCs w:val="24"/>
              </w:rPr>
            </w:pPr>
            <w:r>
              <w:rPr>
                <w:rFonts w:hint="eastAsia" w:cs="宋体" w:asciiTheme="minorEastAsia" w:hAnsiTheme="minorEastAsia"/>
                <w:sz w:val="24"/>
                <w:szCs w:val="24"/>
              </w:rPr>
              <w:t>承诺</w:t>
            </w:r>
          </w:p>
        </w:tc>
        <w:tc>
          <w:tcPr>
            <w:tcW w:w="2125" w:type="dxa"/>
            <w:vAlign w:val="center"/>
          </w:tcPr>
          <w:p>
            <w:pPr>
              <w:widowControl/>
              <w:jc w:val="center"/>
              <w:rPr>
                <w:rFonts w:cs="宋体" w:asciiTheme="minorEastAsia" w:hAnsiTheme="minorEastAsia"/>
                <w:sz w:val="24"/>
                <w:szCs w:val="24"/>
              </w:rPr>
            </w:pPr>
            <w:r>
              <w:rPr>
                <w:rFonts w:hint="eastAsia" w:cs="宋体" w:asciiTheme="minorEastAsia" w:hAnsiTheme="minorEastAsia"/>
                <w:sz w:val="24"/>
                <w:szCs w:val="24"/>
              </w:rPr>
              <w:t>各种合同违约率</w:t>
            </w:r>
          </w:p>
        </w:tc>
        <w:tc>
          <w:tcPr>
            <w:tcW w:w="1648" w:type="dxa"/>
            <w:vAlign w:val="center"/>
          </w:tcPr>
          <w:p>
            <w:pPr>
              <w:widowControl/>
              <w:jc w:val="center"/>
              <w:rPr>
                <w:rFonts w:cs="宋体" w:asciiTheme="minorEastAsia" w:hAnsiTheme="minorEastAsia"/>
                <w:sz w:val="24"/>
                <w:szCs w:val="24"/>
              </w:rPr>
            </w:pPr>
            <w:r>
              <w:rPr>
                <w:rFonts w:hint="eastAsia" w:cs="宋体" w:asciiTheme="minorEastAsia" w:hAnsiTheme="minorEastAsia"/>
                <w:sz w:val="24"/>
                <w:szCs w:val="24"/>
              </w:rPr>
              <w:t>无</w:t>
            </w:r>
          </w:p>
        </w:tc>
        <w:tc>
          <w:tcPr>
            <w:tcW w:w="2190" w:type="dxa"/>
            <w:vAlign w:val="center"/>
          </w:tcPr>
          <w:p>
            <w:pPr>
              <w:widowControl/>
              <w:jc w:val="center"/>
              <w:rPr>
                <w:rFonts w:cs="宋体" w:asciiTheme="minorEastAsia" w:hAnsiTheme="minorEastAsia"/>
                <w:sz w:val="24"/>
                <w:szCs w:val="24"/>
              </w:rPr>
            </w:pPr>
            <w:r>
              <w:rPr>
                <w:rFonts w:hint="eastAsia" w:cs="宋体" w:asciiTheme="minorEastAsia" w:hAnsiTheme="minorEastAsia"/>
                <w:sz w:val="24"/>
                <w:szCs w:val="24"/>
              </w:rPr>
              <w:t>每年统计、分析</w:t>
            </w:r>
          </w:p>
        </w:tc>
        <w:tc>
          <w:tcPr>
            <w:tcW w:w="1458" w:type="dxa"/>
            <w:vAlign w:val="center"/>
          </w:tcPr>
          <w:p>
            <w:pPr>
              <w:widowControl/>
              <w:jc w:val="center"/>
              <w:rPr>
                <w:rFonts w:cs="宋体" w:asciiTheme="minorEastAsia" w:hAnsiTheme="minorEastAsia"/>
                <w:sz w:val="24"/>
                <w:szCs w:val="24"/>
              </w:rPr>
            </w:pPr>
            <w:r>
              <w:rPr>
                <w:rFonts w:hint="eastAsia" w:cs="宋体" w:asciiTheme="minorEastAsia" w:hAnsiTheme="minorEastAsia"/>
                <w:sz w:val="24"/>
                <w:szCs w:val="24"/>
              </w:rPr>
              <w:t>相关方</w:t>
            </w:r>
          </w:p>
        </w:tc>
      </w:tr>
      <w:tr>
        <w:tblPrEx>
          <w:tblBorders>
            <w:top w:val="thinThickSmallGap" w:color="008080" w:sz="18" w:space="0"/>
            <w:left w:val="thinThickSmallGap" w:color="008080" w:sz="18" w:space="0"/>
            <w:bottom w:val="thickThinSmallGap" w:color="008080" w:sz="18" w:space="0"/>
            <w:right w:val="thickThinSmallGap" w:color="008080" w:sz="18" w:space="0"/>
            <w:insideH w:val="single" w:color="008080" w:sz="6" w:space="0"/>
            <w:insideV w:val="single" w:color="008080" w:sz="6" w:space="0"/>
          </w:tblBorders>
          <w:tblLayout w:type="fixed"/>
          <w:tblCellMar>
            <w:top w:w="0" w:type="dxa"/>
            <w:left w:w="108" w:type="dxa"/>
            <w:bottom w:w="0" w:type="dxa"/>
            <w:right w:w="108" w:type="dxa"/>
          </w:tblCellMar>
        </w:tblPrEx>
        <w:trPr>
          <w:trHeight w:val="471" w:hRule="atLeast"/>
        </w:trPr>
        <w:tc>
          <w:tcPr>
            <w:tcW w:w="1101" w:type="dxa"/>
            <w:vMerge w:val="continue"/>
            <w:vAlign w:val="center"/>
          </w:tcPr>
          <w:p>
            <w:pPr>
              <w:widowControl/>
              <w:jc w:val="center"/>
              <w:rPr>
                <w:rFonts w:cs="宋体" w:asciiTheme="minorEastAsia" w:hAnsiTheme="minorEastAsia"/>
                <w:sz w:val="24"/>
                <w:szCs w:val="24"/>
              </w:rPr>
            </w:pPr>
          </w:p>
        </w:tc>
        <w:tc>
          <w:tcPr>
            <w:tcW w:w="2125" w:type="dxa"/>
            <w:vAlign w:val="center"/>
          </w:tcPr>
          <w:p>
            <w:pPr>
              <w:widowControl/>
              <w:jc w:val="center"/>
              <w:rPr>
                <w:rFonts w:cs="宋体" w:asciiTheme="minorEastAsia" w:hAnsiTheme="minorEastAsia"/>
                <w:sz w:val="24"/>
                <w:szCs w:val="24"/>
              </w:rPr>
            </w:pPr>
            <w:r>
              <w:rPr>
                <w:rFonts w:hint="eastAsia" w:cs="宋体" w:asciiTheme="minorEastAsia" w:hAnsiTheme="minorEastAsia"/>
                <w:sz w:val="24"/>
                <w:szCs w:val="24"/>
              </w:rPr>
              <w:t>重大违约公司规定行为</w:t>
            </w:r>
          </w:p>
        </w:tc>
        <w:tc>
          <w:tcPr>
            <w:tcW w:w="1648" w:type="dxa"/>
            <w:vAlign w:val="center"/>
          </w:tcPr>
          <w:p>
            <w:pPr>
              <w:widowControl/>
              <w:jc w:val="center"/>
              <w:rPr>
                <w:rFonts w:cs="宋体" w:asciiTheme="minorEastAsia" w:hAnsiTheme="minorEastAsia"/>
                <w:sz w:val="24"/>
                <w:szCs w:val="24"/>
              </w:rPr>
            </w:pPr>
            <w:r>
              <w:rPr>
                <w:rFonts w:hint="eastAsia" w:cs="宋体" w:asciiTheme="minorEastAsia" w:hAnsiTheme="minorEastAsia"/>
                <w:sz w:val="24"/>
                <w:szCs w:val="24"/>
              </w:rPr>
              <w:t>无</w:t>
            </w:r>
          </w:p>
        </w:tc>
        <w:tc>
          <w:tcPr>
            <w:tcW w:w="2190" w:type="dxa"/>
            <w:vAlign w:val="center"/>
          </w:tcPr>
          <w:p>
            <w:pPr>
              <w:widowControl/>
              <w:jc w:val="center"/>
              <w:rPr>
                <w:rFonts w:cs="宋体" w:asciiTheme="minorEastAsia" w:hAnsiTheme="minorEastAsia"/>
                <w:sz w:val="24"/>
                <w:szCs w:val="24"/>
              </w:rPr>
            </w:pPr>
            <w:r>
              <w:rPr>
                <w:rFonts w:hint="eastAsia" w:cs="宋体" w:asciiTheme="minorEastAsia" w:hAnsiTheme="minorEastAsia"/>
                <w:sz w:val="24"/>
                <w:szCs w:val="24"/>
              </w:rPr>
              <w:t>举报、投诉、审计、反贪污贿赂检查</w:t>
            </w:r>
          </w:p>
        </w:tc>
        <w:tc>
          <w:tcPr>
            <w:tcW w:w="1458" w:type="dxa"/>
            <w:vAlign w:val="center"/>
          </w:tcPr>
          <w:p>
            <w:pPr>
              <w:widowControl/>
              <w:jc w:val="center"/>
              <w:rPr>
                <w:rFonts w:cs="宋体" w:asciiTheme="minorEastAsia" w:hAnsiTheme="minorEastAsia"/>
                <w:sz w:val="24"/>
                <w:szCs w:val="24"/>
              </w:rPr>
            </w:pPr>
            <w:r>
              <w:rPr>
                <w:rFonts w:hint="eastAsia" w:cs="宋体" w:asciiTheme="minorEastAsia" w:hAnsiTheme="minorEastAsia"/>
                <w:sz w:val="24"/>
                <w:szCs w:val="24"/>
              </w:rPr>
              <w:t>内审部</w:t>
            </w:r>
          </w:p>
        </w:tc>
      </w:tr>
      <w:tr>
        <w:tblPrEx>
          <w:tblBorders>
            <w:top w:val="thinThickSmallGap" w:color="008080" w:sz="18" w:space="0"/>
            <w:left w:val="thinThickSmallGap" w:color="008080" w:sz="18" w:space="0"/>
            <w:bottom w:val="thickThinSmallGap" w:color="008080" w:sz="18" w:space="0"/>
            <w:right w:val="thickThinSmallGap" w:color="008080" w:sz="18" w:space="0"/>
            <w:insideH w:val="single" w:color="008080" w:sz="6" w:space="0"/>
            <w:insideV w:val="single" w:color="008080" w:sz="6" w:space="0"/>
          </w:tblBorders>
          <w:tblLayout w:type="fixed"/>
          <w:tblCellMar>
            <w:top w:w="0" w:type="dxa"/>
            <w:left w:w="108" w:type="dxa"/>
            <w:bottom w:w="0" w:type="dxa"/>
            <w:right w:w="108" w:type="dxa"/>
          </w:tblCellMar>
        </w:tblPrEx>
        <w:trPr>
          <w:trHeight w:val="233" w:hRule="atLeast"/>
        </w:trPr>
        <w:tc>
          <w:tcPr>
            <w:tcW w:w="1101" w:type="dxa"/>
            <w:vMerge w:val="continue"/>
            <w:vAlign w:val="center"/>
          </w:tcPr>
          <w:p>
            <w:pPr>
              <w:widowControl/>
              <w:jc w:val="center"/>
              <w:rPr>
                <w:rFonts w:cs="宋体" w:asciiTheme="minorEastAsia" w:hAnsiTheme="minorEastAsia"/>
                <w:sz w:val="24"/>
                <w:szCs w:val="24"/>
              </w:rPr>
            </w:pPr>
          </w:p>
        </w:tc>
        <w:tc>
          <w:tcPr>
            <w:tcW w:w="2125" w:type="dxa"/>
            <w:vAlign w:val="center"/>
          </w:tcPr>
          <w:p>
            <w:pPr>
              <w:widowControl/>
              <w:jc w:val="center"/>
              <w:rPr>
                <w:rFonts w:cs="宋体" w:asciiTheme="minorEastAsia" w:hAnsiTheme="minorEastAsia"/>
                <w:sz w:val="24"/>
                <w:szCs w:val="24"/>
              </w:rPr>
            </w:pPr>
            <w:r>
              <w:rPr>
                <w:rFonts w:hint="eastAsia" w:cs="宋体" w:asciiTheme="minorEastAsia" w:hAnsiTheme="minorEastAsia"/>
                <w:sz w:val="24"/>
                <w:szCs w:val="24"/>
              </w:rPr>
              <w:t>偷税、漏税行为</w:t>
            </w:r>
          </w:p>
        </w:tc>
        <w:tc>
          <w:tcPr>
            <w:tcW w:w="1648" w:type="dxa"/>
            <w:vAlign w:val="center"/>
          </w:tcPr>
          <w:p>
            <w:pPr>
              <w:widowControl/>
              <w:jc w:val="center"/>
              <w:rPr>
                <w:rFonts w:cs="宋体" w:asciiTheme="minorEastAsia" w:hAnsiTheme="minorEastAsia"/>
                <w:sz w:val="24"/>
                <w:szCs w:val="24"/>
              </w:rPr>
            </w:pPr>
            <w:r>
              <w:rPr>
                <w:rFonts w:cs="宋体" w:asciiTheme="minorEastAsia" w:hAnsiTheme="minorEastAsia"/>
                <w:sz w:val="24"/>
                <w:szCs w:val="24"/>
              </w:rPr>
              <w:t>0</w:t>
            </w:r>
          </w:p>
        </w:tc>
        <w:tc>
          <w:tcPr>
            <w:tcW w:w="2190" w:type="dxa"/>
            <w:vAlign w:val="center"/>
          </w:tcPr>
          <w:p>
            <w:pPr>
              <w:widowControl/>
              <w:jc w:val="center"/>
              <w:rPr>
                <w:rFonts w:cs="宋体" w:asciiTheme="minorEastAsia" w:hAnsiTheme="minorEastAsia"/>
                <w:sz w:val="24"/>
                <w:szCs w:val="24"/>
              </w:rPr>
            </w:pPr>
            <w:r>
              <w:rPr>
                <w:rFonts w:hint="eastAsia" w:cs="宋体" w:asciiTheme="minorEastAsia" w:hAnsiTheme="minorEastAsia"/>
                <w:sz w:val="24"/>
                <w:szCs w:val="24"/>
              </w:rPr>
              <w:t>税务检查</w:t>
            </w:r>
          </w:p>
        </w:tc>
        <w:tc>
          <w:tcPr>
            <w:tcW w:w="1458" w:type="dxa"/>
            <w:vAlign w:val="center"/>
          </w:tcPr>
          <w:p>
            <w:pPr>
              <w:widowControl/>
              <w:jc w:val="center"/>
              <w:rPr>
                <w:rFonts w:cs="宋体" w:asciiTheme="minorEastAsia" w:hAnsiTheme="minorEastAsia"/>
                <w:sz w:val="24"/>
                <w:szCs w:val="24"/>
              </w:rPr>
            </w:pPr>
            <w:r>
              <w:rPr>
                <w:rFonts w:hint="eastAsia" w:cs="宋体" w:asciiTheme="minorEastAsia" w:hAnsiTheme="minorEastAsia"/>
                <w:sz w:val="24"/>
                <w:szCs w:val="24"/>
              </w:rPr>
              <w:t>国税局、地税局</w:t>
            </w:r>
          </w:p>
        </w:tc>
      </w:tr>
      <w:tr>
        <w:tblPrEx>
          <w:tblBorders>
            <w:top w:val="thinThickSmallGap" w:color="008080" w:sz="18" w:space="0"/>
            <w:left w:val="thinThickSmallGap" w:color="008080" w:sz="18" w:space="0"/>
            <w:bottom w:val="thickThinSmallGap" w:color="008080" w:sz="18" w:space="0"/>
            <w:right w:val="thickThinSmallGap" w:color="008080" w:sz="18" w:space="0"/>
            <w:insideH w:val="single" w:color="008080" w:sz="6" w:space="0"/>
            <w:insideV w:val="single" w:color="008080" w:sz="6" w:space="0"/>
          </w:tblBorders>
          <w:tblLayout w:type="fixed"/>
          <w:tblCellMar>
            <w:top w:w="0" w:type="dxa"/>
            <w:left w:w="108" w:type="dxa"/>
            <w:bottom w:w="0" w:type="dxa"/>
            <w:right w:w="108" w:type="dxa"/>
          </w:tblCellMar>
        </w:tblPrEx>
        <w:trPr>
          <w:trHeight w:val="223" w:hRule="atLeast"/>
        </w:trPr>
        <w:tc>
          <w:tcPr>
            <w:tcW w:w="1101" w:type="dxa"/>
            <w:vMerge w:val="continue"/>
            <w:vAlign w:val="center"/>
          </w:tcPr>
          <w:p>
            <w:pPr>
              <w:widowControl/>
              <w:jc w:val="center"/>
              <w:rPr>
                <w:rFonts w:cs="宋体" w:asciiTheme="minorEastAsia" w:hAnsiTheme="minorEastAsia"/>
                <w:sz w:val="24"/>
                <w:szCs w:val="24"/>
              </w:rPr>
            </w:pPr>
          </w:p>
        </w:tc>
        <w:tc>
          <w:tcPr>
            <w:tcW w:w="2125" w:type="dxa"/>
            <w:vAlign w:val="center"/>
          </w:tcPr>
          <w:p>
            <w:pPr>
              <w:widowControl/>
              <w:jc w:val="center"/>
              <w:rPr>
                <w:rFonts w:cs="宋体" w:asciiTheme="minorEastAsia" w:hAnsiTheme="minorEastAsia"/>
                <w:sz w:val="24"/>
                <w:szCs w:val="24"/>
              </w:rPr>
            </w:pPr>
            <w:r>
              <w:rPr>
                <w:rFonts w:hint="eastAsia" w:cs="宋体" w:asciiTheme="minorEastAsia" w:hAnsiTheme="minorEastAsia"/>
                <w:sz w:val="24"/>
                <w:szCs w:val="24"/>
              </w:rPr>
              <w:t>逾期应付账款金额</w:t>
            </w:r>
          </w:p>
        </w:tc>
        <w:tc>
          <w:tcPr>
            <w:tcW w:w="1648" w:type="dxa"/>
            <w:vAlign w:val="center"/>
          </w:tcPr>
          <w:p>
            <w:pPr>
              <w:widowControl/>
              <w:jc w:val="center"/>
              <w:rPr>
                <w:rFonts w:cs="宋体" w:asciiTheme="minorEastAsia" w:hAnsiTheme="minorEastAsia"/>
                <w:sz w:val="24"/>
                <w:szCs w:val="24"/>
              </w:rPr>
            </w:pPr>
            <w:r>
              <w:rPr>
                <w:rFonts w:cs="宋体" w:asciiTheme="minorEastAsia" w:hAnsiTheme="minorEastAsia"/>
                <w:sz w:val="24"/>
                <w:szCs w:val="24"/>
              </w:rPr>
              <w:t>0</w:t>
            </w:r>
          </w:p>
        </w:tc>
        <w:tc>
          <w:tcPr>
            <w:tcW w:w="2190" w:type="dxa"/>
            <w:vAlign w:val="center"/>
          </w:tcPr>
          <w:p>
            <w:pPr>
              <w:widowControl/>
              <w:ind w:left="27" w:leftChars="-65" w:right="-71" w:rightChars="-34" w:hanging="163" w:hangingChars="68"/>
              <w:jc w:val="center"/>
              <w:rPr>
                <w:rFonts w:cs="宋体" w:asciiTheme="minorEastAsia" w:hAnsiTheme="minorEastAsia"/>
                <w:sz w:val="24"/>
                <w:szCs w:val="24"/>
              </w:rPr>
            </w:pPr>
            <w:r>
              <w:rPr>
                <w:rFonts w:hint="eastAsia" w:cs="宋体" w:asciiTheme="minorEastAsia" w:hAnsiTheme="minorEastAsia"/>
                <w:sz w:val="24"/>
                <w:szCs w:val="24"/>
              </w:rPr>
              <w:t>定期检查、统计分析、反馈</w:t>
            </w:r>
          </w:p>
        </w:tc>
        <w:tc>
          <w:tcPr>
            <w:tcW w:w="1458" w:type="dxa"/>
            <w:vAlign w:val="center"/>
          </w:tcPr>
          <w:p>
            <w:pPr>
              <w:widowControl/>
              <w:jc w:val="center"/>
              <w:rPr>
                <w:rFonts w:cs="宋体" w:asciiTheme="minorEastAsia" w:hAnsiTheme="minorEastAsia"/>
                <w:sz w:val="24"/>
                <w:szCs w:val="24"/>
              </w:rPr>
            </w:pPr>
            <w:r>
              <w:rPr>
                <w:rFonts w:hint="eastAsia" w:cs="宋体" w:asciiTheme="minorEastAsia" w:hAnsiTheme="minorEastAsia"/>
                <w:sz w:val="24"/>
                <w:szCs w:val="24"/>
              </w:rPr>
              <w:t>银行、相关方</w:t>
            </w:r>
          </w:p>
        </w:tc>
      </w:tr>
      <w:tr>
        <w:tblPrEx>
          <w:tblBorders>
            <w:top w:val="thinThickSmallGap" w:color="008080" w:sz="18" w:space="0"/>
            <w:left w:val="thinThickSmallGap" w:color="008080" w:sz="18" w:space="0"/>
            <w:bottom w:val="thickThinSmallGap" w:color="008080" w:sz="18" w:space="0"/>
            <w:right w:val="thickThinSmallGap" w:color="008080" w:sz="18" w:space="0"/>
            <w:insideH w:val="single" w:color="008080" w:sz="6" w:space="0"/>
            <w:insideV w:val="single" w:color="008080" w:sz="6" w:space="0"/>
          </w:tblBorders>
          <w:tblLayout w:type="fixed"/>
          <w:tblCellMar>
            <w:top w:w="0" w:type="dxa"/>
            <w:left w:w="108" w:type="dxa"/>
            <w:bottom w:w="0" w:type="dxa"/>
            <w:right w:w="108" w:type="dxa"/>
          </w:tblCellMar>
        </w:tblPrEx>
        <w:trPr>
          <w:trHeight w:val="60" w:hRule="atLeast"/>
        </w:trPr>
        <w:tc>
          <w:tcPr>
            <w:tcW w:w="1101" w:type="dxa"/>
            <w:vMerge w:val="continue"/>
            <w:vAlign w:val="center"/>
          </w:tcPr>
          <w:p>
            <w:pPr>
              <w:widowControl/>
              <w:jc w:val="center"/>
              <w:rPr>
                <w:rFonts w:cs="宋体" w:asciiTheme="minorEastAsia" w:hAnsiTheme="minorEastAsia"/>
                <w:sz w:val="24"/>
                <w:szCs w:val="24"/>
              </w:rPr>
            </w:pPr>
          </w:p>
        </w:tc>
        <w:tc>
          <w:tcPr>
            <w:tcW w:w="2125" w:type="dxa"/>
            <w:vAlign w:val="center"/>
          </w:tcPr>
          <w:p>
            <w:pPr>
              <w:widowControl/>
              <w:jc w:val="center"/>
              <w:rPr>
                <w:rFonts w:cs="宋体" w:asciiTheme="minorEastAsia" w:hAnsiTheme="minorEastAsia"/>
                <w:sz w:val="24"/>
                <w:szCs w:val="24"/>
              </w:rPr>
            </w:pPr>
            <w:r>
              <w:rPr>
                <w:rFonts w:hint="eastAsia" w:cs="宋体" w:asciiTheme="minorEastAsia" w:hAnsiTheme="minorEastAsia"/>
                <w:sz w:val="24"/>
                <w:szCs w:val="24"/>
              </w:rPr>
              <w:t>广告宣传真实性</w:t>
            </w:r>
          </w:p>
        </w:tc>
        <w:tc>
          <w:tcPr>
            <w:tcW w:w="1648" w:type="dxa"/>
            <w:vAlign w:val="center"/>
          </w:tcPr>
          <w:p>
            <w:pPr>
              <w:widowControl/>
              <w:jc w:val="center"/>
              <w:rPr>
                <w:rFonts w:cs="宋体" w:asciiTheme="minorEastAsia" w:hAnsiTheme="minorEastAsia"/>
                <w:sz w:val="24"/>
                <w:szCs w:val="24"/>
              </w:rPr>
            </w:pPr>
            <w:r>
              <w:rPr>
                <w:rFonts w:cs="宋体" w:asciiTheme="minorEastAsia" w:hAnsiTheme="minorEastAsia"/>
                <w:sz w:val="24"/>
                <w:szCs w:val="24"/>
              </w:rPr>
              <w:t>100%</w:t>
            </w:r>
          </w:p>
        </w:tc>
        <w:tc>
          <w:tcPr>
            <w:tcW w:w="2190" w:type="dxa"/>
            <w:vAlign w:val="center"/>
          </w:tcPr>
          <w:p>
            <w:pPr>
              <w:widowControl/>
              <w:jc w:val="center"/>
              <w:rPr>
                <w:rFonts w:cs="宋体" w:asciiTheme="minorEastAsia" w:hAnsiTheme="minorEastAsia"/>
                <w:sz w:val="24"/>
                <w:szCs w:val="24"/>
              </w:rPr>
            </w:pPr>
            <w:r>
              <w:rPr>
                <w:rFonts w:hint="eastAsia" w:cs="宋体" w:asciiTheme="minorEastAsia" w:hAnsiTheme="minorEastAsia"/>
                <w:sz w:val="24"/>
                <w:szCs w:val="24"/>
              </w:rPr>
              <w:t>调查</w:t>
            </w:r>
          </w:p>
        </w:tc>
        <w:tc>
          <w:tcPr>
            <w:tcW w:w="1458" w:type="dxa"/>
            <w:vAlign w:val="center"/>
          </w:tcPr>
          <w:p>
            <w:pPr>
              <w:widowControl/>
              <w:jc w:val="center"/>
              <w:rPr>
                <w:rFonts w:cs="宋体" w:asciiTheme="minorEastAsia" w:hAnsiTheme="minorEastAsia"/>
                <w:sz w:val="24"/>
                <w:szCs w:val="24"/>
              </w:rPr>
            </w:pPr>
            <w:r>
              <w:rPr>
                <w:rFonts w:hint="eastAsia" w:cs="宋体" w:asciiTheme="minorEastAsia" w:hAnsiTheme="minorEastAsia"/>
                <w:sz w:val="24"/>
                <w:szCs w:val="24"/>
              </w:rPr>
              <w:t>工商部门</w:t>
            </w:r>
          </w:p>
        </w:tc>
      </w:tr>
      <w:tr>
        <w:tblPrEx>
          <w:tblBorders>
            <w:top w:val="thinThickSmallGap" w:color="008080" w:sz="18" w:space="0"/>
            <w:left w:val="thinThickSmallGap" w:color="008080" w:sz="18" w:space="0"/>
            <w:bottom w:val="thickThinSmallGap" w:color="008080" w:sz="18" w:space="0"/>
            <w:right w:val="thickThinSmallGap" w:color="008080" w:sz="18" w:space="0"/>
            <w:insideH w:val="single" w:color="008080" w:sz="6" w:space="0"/>
            <w:insideV w:val="single" w:color="008080" w:sz="6" w:space="0"/>
          </w:tblBorders>
          <w:tblLayout w:type="fixed"/>
          <w:tblCellMar>
            <w:top w:w="0" w:type="dxa"/>
            <w:left w:w="108" w:type="dxa"/>
            <w:bottom w:w="0" w:type="dxa"/>
            <w:right w:w="108" w:type="dxa"/>
          </w:tblCellMar>
        </w:tblPrEx>
        <w:trPr>
          <w:trHeight w:val="224" w:hRule="atLeast"/>
        </w:trPr>
        <w:tc>
          <w:tcPr>
            <w:tcW w:w="1101" w:type="dxa"/>
            <w:vMerge w:val="restart"/>
            <w:vAlign w:val="center"/>
          </w:tcPr>
          <w:p>
            <w:pPr>
              <w:widowControl/>
              <w:jc w:val="center"/>
              <w:rPr>
                <w:rFonts w:cs="宋体" w:asciiTheme="minorEastAsia" w:hAnsiTheme="minorEastAsia"/>
                <w:sz w:val="24"/>
                <w:szCs w:val="24"/>
              </w:rPr>
            </w:pPr>
            <w:r>
              <w:rPr>
                <w:rFonts w:hint="eastAsia" w:cs="宋体" w:asciiTheme="minorEastAsia" w:hAnsiTheme="minorEastAsia"/>
                <w:sz w:val="24"/>
                <w:szCs w:val="24"/>
              </w:rPr>
              <w:t>诚信</w:t>
            </w:r>
          </w:p>
          <w:p>
            <w:pPr>
              <w:widowControl/>
              <w:jc w:val="center"/>
              <w:rPr>
                <w:rFonts w:cs="宋体" w:asciiTheme="minorEastAsia" w:hAnsiTheme="minorEastAsia"/>
                <w:sz w:val="24"/>
                <w:szCs w:val="24"/>
              </w:rPr>
            </w:pPr>
            <w:r>
              <w:rPr>
                <w:rFonts w:hint="eastAsia" w:cs="宋体" w:asciiTheme="minorEastAsia" w:hAnsiTheme="minorEastAsia"/>
                <w:sz w:val="24"/>
                <w:szCs w:val="24"/>
              </w:rPr>
              <w:t>承诺</w:t>
            </w:r>
          </w:p>
        </w:tc>
        <w:tc>
          <w:tcPr>
            <w:tcW w:w="2125" w:type="dxa"/>
            <w:vAlign w:val="center"/>
          </w:tcPr>
          <w:p>
            <w:pPr>
              <w:widowControl/>
              <w:jc w:val="center"/>
              <w:rPr>
                <w:rFonts w:cs="宋体" w:asciiTheme="minorEastAsia" w:hAnsiTheme="minorEastAsia"/>
                <w:sz w:val="24"/>
                <w:szCs w:val="24"/>
              </w:rPr>
            </w:pPr>
            <w:r>
              <w:rPr>
                <w:rFonts w:hint="eastAsia" w:cs="宋体" w:asciiTheme="minorEastAsia" w:hAnsiTheme="minorEastAsia"/>
                <w:sz w:val="24"/>
                <w:szCs w:val="24"/>
              </w:rPr>
              <w:t>各种财务报表客观真实</w:t>
            </w:r>
          </w:p>
        </w:tc>
        <w:tc>
          <w:tcPr>
            <w:tcW w:w="1648" w:type="dxa"/>
            <w:vAlign w:val="center"/>
          </w:tcPr>
          <w:p>
            <w:pPr>
              <w:widowControl/>
              <w:jc w:val="center"/>
              <w:rPr>
                <w:rFonts w:cs="宋体" w:asciiTheme="minorEastAsia" w:hAnsiTheme="minorEastAsia"/>
                <w:sz w:val="24"/>
                <w:szCs w:val="24"/>
              </w:rPr>
            </w:pPr>
            <w:r>
              <w:rPr>
                <w:rFonts w:cs="宋体" w:asciiTheme="minorEastAsia" w:hAnsiTheme="minorEastAsia"/>
                <w:sz w:val="24"/>
                <w:szCs w:val="24"/>
              </w:rPr>
              <w:t>100%</w:t>
            </w:r>
          </w:p>
        </w:tc>
        <w:tc>
          <w:tcPr>
            <w:tcW w:w="2190" w:type="dxa"/>
            <w:vAlign w:val="center"/>
          </w:tcPr>
          <w:p>
            <w:pPr>
              <w:widowControl/>
              <w:jc w:val="center"/>
              <w:rPr>
                <w:rFonts w:cs="宋体" w:asciiTheme="minorEastAsia" w:hAnsiTheme="minorEastAsia"/>
                <w:sz w:val="24"/>
                <w:szCs w:val="24"/>
              </w:rPr>
            </w:pPr>
            <w:r>
              <w:rPr>
                <w:rFonts w:hint="eastAsia" w:cs="宋体" w:asciiTheme="minorEastAsia" w:hAnsiTheme="minorEastAsia"/>
                <w:sz w:val="24"/>
                <w:szCs w:val="24"/>
              </w:rPr>
              <w:t>会计事务检查</w:t>
            </w:r>
          </w:p>
        </w:tc>
        <w:tc>
          <w:tcPr>
            <w:tcW w:w="1458" w:type="dxa"/>
            <w:vAlign w:val="center"/>
          </w:tcPr>
          <w:p>
            <w:pPr>
              <w:widowControl/>
              <w:jc w:val="center"/>
              <w:rPr>
                <w:rFonts w:cs="宋体" w:asciiTheme="minorEastAsia" w:hAnsiTheme="minorEastAsia"/>
                <w:sz w:val="24"/>
                <w:szCs w:val="24"/>
              </w:rPr>
            </w:pPr>
            <w:r>
              <w:rPr>
                <w:rFonts w:hint="eastAsia" w:cs="宋体" w:asciiTheme="minorEastAsia" w:hAnsiTheme="minorEastAsia"/>
                <w:sz w:val="24"/>
                <w:szCs w:val="24"/>
              </w:rPr>
              <w:t>会计事务所</w:t>
            </w:r>
          </w:p>
        </w:tc>
      </w:tr>
      <w:tr>
        <w:tblPrEx>
          <w:tblBorders>
            <w:top w:val="thinThickSmallGap" w:color="008080" w:sz="18" w:space="0"/>
            <w:left w:val="thinThickSmallGap" w:color="008080" w:sz="18" w:space="0"/>
            <w:bottom w:val="thickThinSmallGap" w:color="008080" w:sz="18" w:space="0"/>
            <w:right w:val="thickThinSmallGap" w:color="008080" w:sz="18" w:space="0"/>
            <w:insideH w:val="single" w:color="008080" w:sz="6" w:space="0"/>
            <w:insideV w:val="single" w:color="008080" w:sz="6" w:space="0"/>
          </w:tblBorders>
          <w:tblLayout w:type="fixed"/>
          <w:tblCellMar>
            <w:top w:w="0" w:type="dxa"/>
            <w:left w:w="108" w:type="dxa"/>
            <w:bottom w:w="0" w:type="dxa"/>
            <w:right w:w="108" w:type="dxa"/>
          </w:tblCellMar>
        </w:tblPrEx>
        <w:trPr>
          <w:trHeight w:val="228" w:hRule="atLeast"/>
        </w:trPr>
        <w:tc>
          <w:tcPr>
            <w:tcW w:w="1101" w:type="dxa"/>
            <w:vMerge w:val="continue"/>
            <w:vAlign w:val="center"/>
          </w:tcPr>
          <w:p>
            <w:pPr>
              <w:widowControl/>
              <w:jc w:val="center"/>
              <w:rPr>
                <w:rFonts w:cs="宋体" w:asciiTheme="minorEastAsia" w:hAnsiTheme="minorEastAsia"/>
                <w:sz w:val="24"/>
                <w:szCs w:val="24"/>
              </w:rPr>
            </w:pPr>
          </w:p>
        </w:tc>
        <w:tc>
          <w:tcPr>
            <w:tcW w:w="2125" w:type="dxa"/>
            <w:vAlign w:val="center"/>
          </w:tcPr>
          <w:p>
            <w:pPr>
              <w:widowControl/>
              <w:jc w:val="center"/>
              <w:rPr>
                <w:rFonts w:cs="宋体" w:asciiTheme="minorEastAsia" w:hAnsiTheme="minorEastAsia"/>
                <w:sz w:val="24"/>
                <w:szCs w:val="24"/>
              </w:rPr>
            </w:pPr>
            <w:r>
              <w:rPr>
                <w:rFonts w:hint="eastAsia" w:cs="宋体" w:asciiTheme="minorEastAsia" w:hAnsiTheme="minorEastAsia"/>
                <w:sz w:val="24"/>
                <w:szCs w:val="24"/>
              </w:rPr>
              <w:t>员工工资指标</w:t>
            </w:r>
          </w:p>
        </w:tc>
        <w:tc>
          <w:tcPr>
            <w:tcW w:w="1648" w:type="dxa"/>
            <w:vAlign w:val="center"/>
          </w:tcPr>
          <w:p>
            <w:pPr>
              <w:widowControl/>
              <w:ind w:left="17" w:leftChars="-42" w:right="-136" w:rightChars="-65" w:hanging="105" w:hangingChars="44"/>
              <w:jc w:val="center"/>
              <w:rPr>
                <w:rFonts w:cs="宋体" w:asciiTheme="minorEastAsia" w:hAnsiTheme="minorEastAsia"/>
                <w:sz w:val="24"/>
                <w:szCs w:val="24"/>
              </w:rPr>
            </w:pPr>
            <w:r>
              <w:rPr>
                <w:rFonts w:hint="eastAsia" w:cs="宋体" w:asciiTheme="minorEastAsia" w:hAnsiTheme="minorEastAsia"/>
                <w:sz w:val="24"/>
                <w:szCs w:val="24"/>
              </w:rPr>
              <w:t>按时、准额发放率</w:t>
            </w:r>
            <w:r>
              <w:rPr>
                <w:rFonts w:cs="宋体" w:asciiTheme="minorEastAsia" w:hAnsiTheme="minorEastAsia"/>
                <w:sz w:val="24"/>
                <w:szCs w:val="24"/>
              </w:rPr>
              <w:t>100%</w:t>
            </w:r>
          </w:p>
        </w:tc>
        <w:tc>
          <w:tcPr>
            <w:tcW w:w="2190" w:type="dxa"/>
            <w:vAlign w:val="center"/>
          </w:tcPr>
          <w:p>
            <w:pPr>
              <w:widowControl/>
              <w:jc w:val="center"/>
              <w:rPr>
                <w:rFonts w:cs="宋体" w:asciiTheme="minorEastAsia" w:hAnsiTheme="minorEastAsia"/>
                <w:sz w:val="24"/>
                <w:szCs w:val="24"/>
              </w:rPr>
            </w:pPr>
            <w:r>
              <w:rPr>
                <w:rFonts w:hint="eastAsia" w:cs="宋体" w:asciiTheme="minorEastAsia" w:hAnsiTheme="minorEastAsia"/>
                <w:sz w:val="24"/>
                <w:szCs w:val="24"/>
              </w:rPr>
              <w:t>统计、反馈</w:t>
            </w:r>
          </w:p>
        </w:tc>
        <w:tc>
          <w:tcPr>
            <w:tcW w:w="1458" w:type="dxa"/>
            <w:vAlign w:val="center"/>
          </w:tcPr>
          <w:p>
            <w:pPr>
              <w:widowControl/>
              <w:jc w:val="center"/>
              <w:rPr>
                <w:rFonts w:cs="宋体" w:asciiTheme="minorEastAsia" w:hAnsiTheme="minorEastAsia"/>
                <w:sz w:val="24"/>
                <w:szCs w:val="24"/>
              </w:rPr>
            </w:pPr>
            <w:r>
              <w:rPr>
                <w:rFonts w:hint="eastAsia" w:cs="宋体" w:asciiTheme="minorEastAsia" w:hAnsiTheme="minorEastAsia"/>
                <w:sz w:val="24"/>
                <w:szCs w:val="24"/>
                <w:lang w:eastAsia="zh-CN"/>
              </w:rPr>
              <w:t>管理部</w:t>
            </w:r>
            <w:r>
              <w:rPr>
                <w:rFonts w:hint="eastAsia" w:cs="宋体" w:asciiTheme="minorEastAsia" w:hAnsiTheme="minorEastAsia"/>
                <w:sz w:val="24"/>
                <w:szCs w:val="24"/>
              </w:rPr>
              <w:t>、财务部</w:t>
            </w:r>
          </w:p>
        </w:tc>
      </w:tr>
      <w:tr>
        <w:tblPrEx>
          <w:tblBorders>
            <w:top w:val="thinThickSmallGap" w:color="008080" w:sz="18" w:space="0"/>
            <w:left w:val="thinThickSmallGap" w:color="008080" w:sz="18" w:space="0"/>
            <w:bottom w:val="thickThinSmallGap" w:color="008080" w:sz="18" w:space="0"/>
            <w:right w:val="thickThinSmallGap" w:color="008080" w:sz="18" w:space="0"/>
            <w:insideH w:val="single" w:color="008080" w:sz="6" w:space="0"/>
            <w:insideV w:val="single" w:color="008080" w:sz="6" w:space="0"/>
          </w:tblBorders>
          <w:tblLayout w:type="fixed"/>
          <w:tblCellMar>
            <w:top w:w="0" w:type="dxa"/>
            <w:left w:w="108" w:type="dxa"/>
            <w:bottom w:w="0" w:type="dxa"/>
            <w:right w:w="108" w:type="dxa"/>
          </w:tblCellMar>
        </w:tblPrEx>
        <w:trPr>
          <w:trHeight w:val="138" w:hRule="atLeast"/>
        </w:trPr>
        <w:tc>
          <w:tcPr>
            <w:tcW w:w="1101" w:type="dxa"/>
            <w:vMerge w:val="continue"/>
            <w:vAlign w:val="center"/>
          </w:tcPr>
          <w:p>
            <w:pPr>
              <w:widowControl/>
              <w:jc w:val="center"/>
              <w:rPr>
                <w:rFonts w:cs="宋体" w:asciiTheme="minorEastAsia" w:hAnsiTheme="minorEastAsia"/>
                <w:sz w:val="24"/>
                <w:szCs w:val="24"/>
              </w:rPr>
            </w:pPr>
          </w:p>
        </w:tc>
        <w:tc>
          <w:tcPr>
            <w:tcW w:w="2125" w:type="dxa"/>
            <w:vAlign w:val="center"/>
          </w:tcPr>
          <w:p>
            <w:pPr>
              <w:widowControl/>
              <w:jc w:val="center"/>
              <w:rPr>
                <w:rFonts w:cs="宋体" w:asciiTheme="minorEastAsia" w:hAnsiTheme="minorEastAsia"/>
                <w:sz w:val="24"/>
                <w:szCs w:val="24"/>
              </w:rPr>
            </w:pPr>
            <w:r>
              <w:rPr>
                <w:rFonts w:hint="eastAsia" w:cs="宋体" w:asciiTheme="minorEastAsia" w:hAnsiTheme="minorEastAsia"/>
                <w:sz w:val="24"/>
                <w:szCs w:val="24"/>
              </w:rPr>
              <w:t>对员工的承诺兑现率</w:t>
            </w:r>
          </w:p>
        </w:tc>
        <w:tc>
          <w:tcPr>
            <w:tcW w:w="1648" w:type="dxa"/>
            <w:vAlign w:val="center"/>
          </w:tcPr>
          <w:p>
            <w:pPr>
              <w:widowControl/>
              <w:jc w:val="center"/>
              <w:rPr>
                <w:rFonts w:cs="宋体" w:asciiTheme="minorEastAsia" w:hAnsiTheme="minorEastAsia"/>
                <w:sz w:val="24"/>
                <w:szCs w:val="24"/>
              </w:rPr>
            </w:pPr>
            <w:r>
              <w:rPr>
                <w:rFonts w:cs="宋体" w:asciiTheme="minorEastAsia" w:hAnsiTheme="minorEastAsia"/>
                <w:sz w:val="24"/>
                <w:szCs w:val="24"/>
              </w:rPr>
              <w:t>100%</w:t>
            </w:r>
          </w:p>
        </w:tc>
        <w:tc>
          <w:tcPr>
            <w:tcW w:w="2190" w:type="dxa"/>
            <w:vAlign w:val="center"/>
          </w:tcPr>
          <w:p>
            <w:pPr>
              <w:widowControl/>
              <w:jc w:val="center"/>
              <w:rPr>
                <w:rFonts w:cs="宋体" w:asciiTheme="minorEastAsia" w:hAnsiTheme="minorEastAsia"/>
                <w:sz w:val="24"/>
                <w:szCs w:val="24"/>
              </w:rPr>
            </w:pPr>
            <w:r>
              <w:rPr>
                <w:rFonts w:hint="eastAsia" w:cs="宋体" w:asciiTheme="minorEastAsia" w:hAnsiTheme="minorEastAsia"/>
                <w:sz w:val="24"/>
                <w:szCs w:val="24"/>
              </w:rPr>
              <w:t>调查</w:t>
            </w:r>
          </w:p>
        </w:tc>
        <w:tc>
          <w:tcPr>
            <w:tcW w:w="1458" w:type="dxa"/>
            <w:vAlign w:val="center"/>
          </w:tcPr>
          <w:p>
            <w:pPr>
              <w:widowControl/>
              <w:jc w:val="center"/>
              <w:rPr>
                <w:rFonts w:hint="eastAsia" w:cs="宋体" w:asciiTheme="minorEastAsia" w:hAnsiTheme="minorEastAsia" w:eastAsiaTheme="minorEastAsia"/>
                <w:sz w:val="24"/>
                <w:szCs w:val="24"/>
                <w:lang w:eastAsia="zh-CN"/>
              </w:rPr>
            </w:pPr>
            <w:r>
              <w:rPr>
                <w:rFonts w:hint="eastAsia" w:cs="宋体" w:asciiTheme="minorEastAsia" w:hAnsiTheme="minorEastAsia"/>
                <w:sz w:val="24"/>
                <w:szCs w:val="24"/>
                <w:lang w:eastAsia="zh-CN"/>
              </w:rPr>
              <w:t>管理部</w:t>
            </w:r>
          </w:p>
        </w:tc>
      </w:tr>
      <w:tr>
        <w:tblPrEx>
          <w:tblBorders>
            <w:top w:val="thinThickSmallGap" w:color="008080" w:sz="18" w:space="0"/>
            <w:left w:val="thinThickSmallGap" w:color="008080" w:sz="18" w:space="0"/>
            <w:bottom w:val="thickThinSmallGap" w:color="008080" w:sz="18" w:space="0"/>
            <w:right w:val="thickThinSmallGap" w:color="008080" w:sz="18" w:space="0"/>
            <w:insideH w:val="single" w:color="008080" w:sz="6" w:space="0"/>
            <w:insideV w:val="single" w:color="008080" w:sz="6" w:space="0"/>
          </w:tblBorders>
          <w:tblLayout w:type="fixed"/>
          <w:tblCellMar>
            <w:top w:w="0" w:type="dxa"/>
            <w:left w:w="108" w:type="dxa"/>
            <w:bottom w:w="0" w:type="dxa"/>
            <w:right w:w="108" w:type="dxa"/>
          </w:tblCellMar>
        </w:tblPrEx>
        <w:trPr>
          <w:trHeight w:val="191" w:hRule="atLeast"/>
        </w:trPr>
        <w:tc>
          <w:tcPr>
            <w:tcW w:w="1101" w:type="dxa"/>
            <w:vMerge w:val="continue"/>
            <w:vAlign w:val="center"/>
          </w:tcPr>
          <w:p>
            <w:pPr>
              <w:widowControl/>
              <w:jc w:val="center"/>
              <w:rPr>
                <w:rFonts w:cs="宋体" w:asciiTheme="minorEastAsia" w:hAnsiTheme="minorEastAsia"/>
                <w:sz w:val="24"/>
                <w:szCs w:val="24"/>
              </w:rPr>
            </w:pPr>
          </w:p>
        </w:tc>
        <w:tc>
          <w:tcPr>
            <w:tcW w:w="2125" w:type="dxa"/>
            <w:vAlign w:val="center"/>
          </w:tcPr>
          <w:p>
            <w:pPr>
              <w:widowControl/>
              <w:jc w:val="center"/>
              <w:rPr>
                <w:rFonts w:cs="宋体" w:asciiTheme="minorEastAsia" w:hAnsiTheme="minorEastAsia"/>
                <w:sz w:val="24"/>
                <w:szCs w:val="24"/>
              </w:rPr>
            </w:pPr>
            <w:r>
              <w:rPr>
                <w:rFonts w:hint="eastAsia" w:cs="宋体" w:asciiTheme="minorEastAsia" w:hAnsiTheme="minorEastAsia"/>
                <w:sz w:val="24"/>
                <w:szCs w:val="24"/>
              </w:rPr>
              <w:t>劳保用品发放</w:t>
            </w:r>
          </w:p>
        </w:tc>
        <w:tc>
          <w:tcPr>
            <w:tcW w:w="1648" w:type="dxa"/>
            <w:vAlign w:val="center"/>
          </w:tcPr>
          <w:p>
            <w:pPr>
              <w:widowControl/>
              <w:jc w:val="center"/>
              <w:rPr>
                <w:rFonts w:cs="宋体" w:asciiTheme="minorEastAsia" w:hAnsiTheme="minorEastAsia"/>
                <w:sz w:val="24"/>
                <w:szCs w:val="24"/>
              </w:rPr>
            </w:pPr>
            <w:r>
              <w:rPr>
                <w:rFonts w:hint="eastAsia" w:cs="宋体" w:asciiTheme="minorEastAsia" w:hAnsiTheme="minorEastAsia"/>
                <w:sz w:val="24"/>
                <w:szCs w:val="24"/>
              </w:rPr>
              <w:t>及时率</w:t>
            </w:r>
            <w:r>
              <w:rPr>
                <w:rFonts w:cs="宋体" w:asciiTheme="minorEastAsia" w:hAnsiTheme="minorEastAsia"/>
                <w:sz w:val="24"/>
                <w:szCs w:val="24"/>
              </w:rPr>
              <w:t>100%</w:t>
            </w:r>
          </w:p>
        </w:tc>
        <w:tc>
          <w:tcPr>
            <w:tcW w:w="2190" w:type="dxa"/>
            <w:vAlign w:val="center"/>
          </w:tcPr>
          <w:p>
            <w:pPr>
              <w:widowControl/>
              <w:jc w:val="center"/>
              <w:rPr>
                <w:rFonts w:cs="宋体" w:asciiTheme="minorEastAsia" w:hAnsiTheme="minorEastAsia"/>
                <w:sz w:val="24"/>
                <w:szCs w:val="24"/>
              </w:rPr>
            </w:pPr>
            <w:r>
              <w:rPr>
                <w:rFonts w:hint="eastAsia" w:cs="宋体" w:asciiTheme="minorEastAsia" w:hAnsiTheme="minorEastAsia"/>
                <w:sz w:val="24"/>
                <w:szCs w:val="24"/>
              </w:rPr>
              <w:t>每</w:t>
            </w:r>
            <w:r>
              <w:rPr>
                <w:rFonts w:hint="eastAsia" w:cs="宋体" w:asciiTheme="minorEastAsia" w:hAnsiTheme="minorEastAsia"/>
                <w:sz w:val="24"/>
                <w:szCs w:val="24"/>
                <w:lang w:val="en-US" w:eastAsia="zh-CN"/>
              </w:rPr>
              <w:t>月</w:t>
            </w:r>
            <w:r>
              <w:rPr>
                <w:rFonts w:hint="eastAsia" w:cs="宋体" w:asciiTheme="minorEastAsia" w:hAnsiTheme="minorEastAsia"/>
                <w:sz w:val="24"/>
                <w:szCs w:val="24"/>
              </w:rPr>
              <w:t>发放一次</w:t>
            </w:r>
          </w:p>
        </w:tc>
        <w:tc>
          <w:tcPr>
            <w:tcW w:w="1458" w:type="dxa"/>
            <w:vAlign w:val="center"/>
          </w:tcPr>
          <w:p>
            <w:pPr>
              <w:widowControl/>
              <w:jc w:val="center"/>
              <w:rPr>
                <w:rFonts w:hint="eastAsia" w:cs="宋体" w:asciiTheme="minorEastAsia" w:hAnsiTheme="minorEastAsia" w:eastAsiaTheme="minorEastAsia"/>
                <w:sz w:val="24"/>
                <w:szCs w:val="24"/>
                <w:lang w:eastAsia="zh-CN"/>
              </w:rPr>
            </w:pPr>
            <w:r>
              <w:rPr>
                <w:rFonts w:hint="eastAsia" w:cs="宋体" w:asciiTheme="minorEastAsia" w:hAnsiTheme="minorEastAsia"/>
                <w:sz w:val="24"/>
                <w:szCs w:val="24"/>
                <w:lang w:eastAsia="zh-CN"/>
              </w:rPr>
              <w:t>管理部</w:t>
            </w:r>
          </w:p>
        </w:tc>
      </w:tr>
      <w:tr>
        <w:tblPrEx>
          <w:tblBorders>
            <w:top w:val="thinThickSmallGap" w:color="008080" w:sz="18" w:space="0"/>
            <w:left w:val="thinThickSmallGap" w:color="008080" w:sz="18" w:space="0"/>
            <w:bottom w:val="thickThinSmallGap" w:color="008080" w:sz="18" w:space="0"/>
            <w:right w:val="thickThinSmallGap" w:color="008080" w:sz="18" w:space="0"/>
            <w:insideH w:val="single" w:color="008080" w:sz="6" w:space="0"/>
            <w:insideV w:val="single" w:color="008080" w:sz="6" w:space="0"/>
          </w:tblBorders>
          <w:tblLayout w:type="fixed"/>
          <w:tblCellMar>
            <w:top w:w="0" w:type="dxa"/>
            <w:left w:w="108" w:type="dxa"/>
            <w:bottom w:w="0" w:type="dxa"/>
            <w:right w:w="108" w:type="dxa"/>
          </w:tblCellMar>
        </w:tblPrEx>
        <w:trPr>
          <w:trHeight w:val="169" w:hRule="atLeast"/>
        </w:trPr>
        <w:tc>
          <w:tcPr>
            <w:tcW w:w="1101" w:type="dxa"/>
            <w:vMerge w:val="continue"/>
            <w:vAlign w:val="center"/>
          </w:tcPr>
          <w:p>
            <w:pPr>
              <w:widowControl/>
              <w:jc w:val="center"/>
              <w:rPr>
                <w:rFonts w:cs="宋体" w:asciiTheme="minorEastAsia" w:hAnsiTheme="minorEastAsia"/>
                <w:sz w:val="24"/>
                <w:szCs w:val="24"/>
              </w:rPr>
            </w:pPr>
          </w:p>
        </w:tc>
        <w:tc>
          <w:tcPr>
            <w:tcW w:w="2125" w:type="dxa"/>
            <w:vAlign w:val="center"/>
          </w:tcPr>
          <w:p>
            <w:pPr>
              <w:widowControl/>
              <w:jc w:val="center"/>
              <w:rPr>
                <w:rFonts w:cs="宋体" w:asciiTheme="minorEastAsia" w:hAnsiTheme="minorEastAsia"/>
                <w:sz w:val="24"/>
                <w:szCs w:val="24"/>
              </w:rPr>
            </w:pPr>
            <w:r>
              <w:rPr>
                <w:rFonts w:hint="eastAsia" w:cs="宋体" w:asciiTheme="minorEastAsia" w:hAnsiTheme="minorEastAsia"/>
                <w:sz w:val="24"/>
                <w:szCs w:val="24"/>
              </w:rPr>
              <w:t>股东权益报酬率</w:t>
            </w:r>
          </w:p>
        </w:tc>
        <w:tc>
          <w:tcPr>
            <w:tcW w:w="1648" w:type="dxa"/>
            <w:vAlign w:val="center"/>
          </w:tcPr>
          <w:p>
            <w:pPr>
              <w:widowControl/>
              <w:jc w:val="center"/>
              <w:rPr>
                <w:rFonts w:cs="宋体" w:asciiTheme="minorEastAsia" w:hAnsiTheme="minorEastAsia"/>
                <w:sz w:val="24"/>
                <w:szCs w:val="24"/>
              </w:rPr>
            </w:pPr>
            <w:r>
              <w:rPr>
                <w:rFonts w:cs="宋体" w:asciiTheme="minorEastAsia" w:hAnsiTheme="minorEastAsia"/>
                <w:sz w:val="24"/>
                <w:szCs w:val="24"/>
              </w:rPr>
              <w:t>16%</w:t>
            </w:r>
            <w:r>
              <w:rPr>
                <w:rFonts w:hint="eastAsia" w:cs="宋体" w:asciiTheme="minorEastAsia" w:hAnsiTheme="minorEastAsia"/>
                <w:sz w:val="24"/>
                <w:szCs w:val="24"/>
              </w:rPr>
              <w:t>以上</w:t>
            </w:r>
          </w:p>
        </w:tc>
        <w:tc>
          <w:tcPr>
            <w:tcW w:w="2190" w:type="dxa"/>
            <w:vAlign w:val="center"/>
          </w:tcPr>
          <w:p>
            <w:pPr>
              <w:widowControl/>
              <w:jc w:val="center"/>
              <w:rPr>
                <w:rFonts w:cs="宋体" w:asciiTheme="minorEastAsia" w:hAnsiTheme="minorEastAsia"/>
                <w:sz w:val="24"/>
                <w:szCs w:val="24"/>
              </w:rPr>
            </w:pPr>
            <w:r>
              <w:rPr>
                <w:rFonts w:hint="eastAsia" w:cs="宋体" w:asciiTheme="minorEastAsia" w:hAnsiTheme="minorEastAsia"/>
                <w:sz w:val="24"/>
                <w:szCs w:val="24"/>
              </w:rPr>
              <w:t>统计</w:t>
            </w:r>
          </w:p>
        </w:tc>
        <w:tc>
          <w:tcPr>
            <w:tcW w:w="1458" w:type="dxa"/>
            <w:vAlign w:val="center"/>
          </w:tcPr>
          <w:p>
            <w:pPr>
              <w:widowControl/>
              <w:jc w:val="center"/>
              <w:rPr>
                <w:rFonts w:cs="宋体" w:asciiTheme="minorEastAsia" w:hAnsiTheme="minorEastAsia"/>
                <w:sz w:val="24"/>
                <w:szCs w:val="24"/>
              </w:rPr>
            </w:pPr>
            <w:r>
              <w:rPr>
                <w:rFonts w:hint="eastAsia" w:cs="宋体" w:asciiTheme="minorEastAsia" w:hAnsiTheme="minorEastAsia"/>
                <w:sz w:val="24"/>
                <w:szCs w:val="24"/>
              </w:rPr>
              <w:t>财务部</w:t>
            </w:r>
          </w:p>
        </w:tc>
      </w:tr>
      <w:tr>
        <w:tblPrEx>
          <w:tblBorders>
            <w:top w:val="thinThickSmallGap" w:color="008080" w:sz="18" w:space="0"/>
            <w:left w:val="thinThickSmallGap" w:color="008080" w:sz="18" w:space="0"/>
            <w:bottom w:val="thickThinSmallGap" w:color="008080" w:sz="18" w:space="0"/>
            <w:right w:val="thickThinSmallGap" w:color="008080" w:sz="18" w:space="0"/>
            <w:insideH w:val="single" w:color="008080" w:sz="6" w:space="0"/>
            <w:insideV w:val="single" w:color="008080" w:sz="6" w:space="0"/>
          </w:tblBorders>
          <w:tblLayout w:type="fixed"/>
          <w:tblCellMar>
            <w:top w:w="0" w:type="dxa"/>
            <w:left w:w="108" w:type="dxa"/>
            <w:bottom w:w="0" w:type="dxa"/>
            <w:right w:w="108" w:type="dxa"/>
          </w:tblCellMar>
        </w:tblPrEx>
        <w:trPr>
          <w:trHeight w:val="161" w:hRule="atLeast"/>
        </w:trPr>
        <w:tc>
          <w:tcPr>
            <w:tcW w:w="1101" w:type="dxa"/>
            <w:vMerge w:val="continue"/>
            <w:vAlign w:val="center"/>
          </w:tcPr>
          <w:p>
            <w:pPr>
              <w:widowControl/>
              <w:jc w:val="center"/>
              <w:rPr>
                <w:rFonts w:cs="宋体" w:asciiTheme="minorEastAsia" w:hAnsiTheme="minorEastAsia"/>
                <w:sz w:val="24"/>
                <w:szCs w:val="24"/>
              </w:rPr>
            </w:pPr>
          </w:p>
        </w:tc>
        <w:tc>
          <w:tcPr>
            <w:tcW w:w="2125" w:type="dxa"/>
            <w:vAlign w:val="center"/>
          </w:tcPr>
          <w:p>
            <w:pPr>
              <w:widowControl/>
              <w:jc w:val="center"/>
              <w:rPr>
                <w:rFonts w:cs="宋体" w:asciiTheme="minorEastAsia" w:hAnsiTheme="minorEastAsia"/>
                <w:sz w:val="24"/>
                <w:szCs w:val="24"/>
              </w:rPr>
            </w:pPr>
            <w:r>
              <w:rPr>
                <w:rFonts w:hint="eastAsia" w:cs="宋体" w:asciiTheme="minorEastAsia" w:hAnsiTheme="minorEastAsia"/>
                <w:sz w:val="24"/>
                <w:szCs w:val="24"/>
              </w:rPr>
              <w:t>产品交期</w:t>
            </w:r>
          </w:p>
        </w:tc>
        <w:tc>
          <w:tcPr>
            <w:tcW w:w="1648" w:type="dxa"/>
            <w:vAlign w:val="center"/>
          </w:tcPr>
          <w:p>
            <w:pPr>
              <w:widowControl/>
              <w:jc w:val="center"/>
              <w:rPr>
                <w:rFonts w:cs="宋体" w:asciiTheme="minorEastAsia" w:hAnsiTheme="minorEastAsia"/>
                <w:sz w:val="24"/>
                <w:szCs w:val="24"/>
              </w:rPr>
            </w:pPr>
            <w:r>
              <w:rPr>
                <w:rFonts w:cs="宋体" w:asciiTheme="minorEastAsia" w:hAnsiTheme="minorEastAsia"/>
                <w:sz w:val="24"/>
                <w:szCs w:val="24"/>
              </w:rPr>
              <w:t>100%</w:t>
            </w:r>
          </w:p>
        </w:tc>
        <w:tc>
          <w:tcPr>
            <w:tcW w:w="2190" w:type="dxa"/>
            <w:vAlign w:val="center"/>
          </w:tcPr>
          <w:p>
            <w:pPr>
              <w:widowControl/>
              <w:jc w:val="center"/>
              <w:rPr>
                <w:rFonts w:cs="宋体" w:asciiTheme="minorEastAsia" w:hAnsiTheme="minorEastAsia"/>
                <w:sz w:val="24"/>
                <w:szCs w:val="24"/>
              </w:rPr>
            </w:pPr>
            <w:r>
              <w:rPr>
                <w:rFonts w:hint="eastAsia" w:cs="宋体" w:asciiTheme="minorEastAsia" w:hAnsiTheme="minorEastAsia"/>
                <w:sz w:val="24"/>
                <w:szCs w:val="24"/>
              </w:rPr>
              <w:t>统计</w:t>
            </w:r>
          </w:p>
        </w:tc>
        <w:tc>
          <w:tcPr>
            <w:tcW w:w="1458" w:type="dxa"/>
            <w:vAlign w:val="center"/>
          </w:tcPr>
          <w:p>
            <w:pPr>
              <w:widowControl/>
              <w:jc w:val="center"/>
              <w:rPr>
                <w:rFonts w:cs="宋体" w:asciiTheme="minorEastAsia" w:hAnsiTheme="minorEastAsia"/>
                <w:sz w:val="24"/>
                <w:szCs w:val="24"/>
              </w:rPr>
            </w:pPr>
            <w:r>
              <w:rPr>
                <w:rFonts w:hint="eastAsia" w:cs="宋体" w:asciiTheme="minorEastAsia" w:hAnsiTheme="minorEastAsia"/>
                <w:sz w:val="24"/>
                <w:szCs w:val="24"/>
              </w:rPr>
              <w:t>生产部</w:t>
            </w:r>
          </w:p>
        </w:tc>
      </w:tr>
      <w:tr>
        <w:tblPrEx>
          <w:tblBorders>
            <w:top w:val="thinThickSmallGap" w:color="008080" w:sz="18" w:space="0"/>
            <w:left w:val="thinThickSmallGap" w:color="008080" w:sz="18" w:space="0"/>
            <w:bottom w:val="thickThinSmallGap" w:color="008080" w:sz="18" w:space="0"/>
            <w:right w:val="thickThinSmallGap" w:color="008080" w:sz="18" w:space="0"/>
            <w:insideH w:val="single" w:color="008080" w:sz="6" w:space="0"/>
            <w:insideV w:val="single" w:color="008080" w:sz="6" w:space="0"/>
          </w:tblBorders>
          <w:tblLayout w:type="fixed"/>
          <w:tblCellMar>
            <w:top w:w="0" w:type="dxa"/>
            <w:left w:w="108" w:type="dxa"/>
            <w:bottom w:w="0" w:type="dxa"/>
            <w:right w:w="108" w:type="dxa"/>
          </w:tblCellMar>
        </w:tblPrEx>
        <w:trPr>
          <w:trHeight w:val="317" w:hRule="atLeast"/>
        </w:trPr>
        <w:tc>
          <w:tcPr>
            <w:tcW w:w="1101" w:type="dxa"/>
            <w:vMerge w:val="restart"/>
            <w:vAlign w:val="center"/>
          </w:tcPr>
          <w:p>
            <w:pPr>
              <w:widowControl/>
              <w:jc w:val="center"/>
              <w:rPr>
                <w:rFonts w:cs="宋体" w:asciiTheme="minorEastAsia" w:hAnsiTheme="minorEastAsia"/>
                <w:sz w:val="24"/>
                <w:szCs w:val="24"/>
              </w:rPr>
            </w:pPr>
            <w:r>
              <w:rPr>
                <w:rFonts w:hint="eastAsia" w:cs="宋体" w:asciiTheme="minorEastAsia" w:hAnsiTheme="minorEastAsia"/>
                <w:sz w:val="24"/>
                <w:szCs w:val="24"/>
              </w:rPr>
              <w:t>服务承诺</w:t>
            </w:r>
          </w:p>
        </w:tc>
        <w:tc>
          <w:tcPr>
            <w:tcW w:w="2125" w:type="dxa"/>
            <w:vAlign w:val="center"/>
          </w:tcPr>
          <w:p>
            <w:pPr>
              <w:widowControl/>
              <w:jc w:val="center"/>
              <w:rPr>
                <w:rFonts w:cs="宋体" w:asciiTheme="minorEastAsia" w:hAnsiTheme="minorEastAsia"/>
                <w:sz w:val="24"/>
                <w:szCs w:val="24"/>
              </w:rPr>
            </w:pPr>
            <w:r>
              <w:rPr>
                <w:rFonts w:hint="eastAsia" w:cs="宋体" w:asciiTheme="minorEastAsia" w:hAnsiTheme="minorEastAsia"/>
                <w:sz w:val="24"/>
                <w:szCs w:val="24"/>
              </w:rPr>
              <w:t>顾客满意度</w:t>
            </w:r>
          </w:p>
        </w:tc>
        <w:tc>
          <w:tcPr>
            <w:tcW w:w="1648" w:type="dxa"/>
            <w:vAlign w:val="center"/>
          </w:tcPr>
          <w:p>
            <w:pPr>
              <w:widowControl/>
              <w:jc w:val="center"/>
              <w:rPr>
                <w:rFonts w:cs="宋体" w:asciiTheme="minorEastAsia" w:hAnsiTheme="minorEastAsia"/>
                <w:sz w:val="24"/>
                <w:szCs w:val="24"/>
              </w:rPr>
            </w:pPr>
            <w:r>
              <w:rPr>
                <w:rFonts w:hint="eastAsia" w:asciiTheme="minorEastAsia" w:hAnsiTheme="minorEastAsia"/>
                <w:sz w:val="24"/>
                <w:szCs w:val="24"/>
              </w:rPr>
              <w:t>9</w:t>
            </w:r>
            <w:r>
              <w:rPr>
                <w:rFonts w:hint="eastAsia" w:asciiTheme="minorEastAsia" w:hAnsiTheme="minorEastAsia"/>
                <w:sz w:val="24"/>
                <w:szCs w:val="24"/>
                <w:lang w:val="en-US" w:eastAsia="zh-CN"/>
              </w:rPr>
              <w:t>3.7</w:t>
            </w:r>
          </w:p>
        </w:tc>
        <w:tc>
          <w:tcPr>
            <w:tcW w:w="2190" w:type="dxa"/>
            <w:vAlign w:val="center"/>
          </w:tcPr>
          <w:p>
            <w:pPr>
              <w:widowControl/>
              <w:jc w:val="center"/>
              <w:rPr>
                <w:rFonts w:cs="宋体" w:asciiTheme="minorEastAsia" w:hAnsiTheme="minorEastAsia"/>
                <w:sz w:val="24"/>
                <w:szCs w:val="24"/>
              </w:rPr>
            </w:pPr>
            <w:r>
              <w:rPr>
                <w:rFonts w:hint="eastAsia" w:cs="宋体" w:asciiTheme="minorEastAsia" w:hAnsiTheme="minorEastAsia"/>
                <w:sz w:val="24"/>
                <w:szCs w:val="24"/>
              </w:rPr>
              <w:t>调查</w:t>
            </w:r>
          </w:p>
        </w:tc>
        <w:tc>
          <w:tcPr>
            <w:tcW w:w="1458" w:type="dxa"/>
            <w:vAlign w:val="center"/>
          </w:tcPr>
          <w:p>
            <w:pPr>
              <w:widowControl/>
              <w:jc w:val="center"/>
              <w:rPr>
                <w:rFonts w:cs="宋体" w:asciiTheme="minorEastAsia" w:hAnsiTheme="minorEastAsia"/>
                <w:sz w:val="24"/>
                <w:szCs w:val="24"/>
              </w:rPr>
            </w:pPr>
            <w:r>
              <w:rPr>
                <w:rFonts w:hint="eastAsia" w:cs="宋体" w:asciiTheme="minorEastAsia" w:hAnsiTheme="minorEastAsia"/>
                <w:sz w:val="24"/>
                <w:szCs w:val="24"/>
              </w:rPr>
              <w:t>营销部、外贸部</w:t>
            </w:r>
          </w:p>
        </w:tc>
      </w:tr>
      <w:tr>
        <w:tblPrEx>
          <w:tblBorders>
            <w:top w:val="thinThickSmallGap" w:color="008080" w:sz="18" w:space="0"/>
            <w:left w:val="thinThickSmallGap" w:color="008080" w:sz="18" w:space="0"/>
            <w:bottom w:val="thickThinSmallGap" w:color="008080" w:sz="18" w:space="0"/>
            <w:right w:val="thickThinSmallGap" w:color="008080" w:sz="18" w:space="0"/>
            <w:insideH w:val="single" w:color="008080" w:sz="6" w:space="0"/>
            <w:insideV w:val="single" w:color="008080" w:sz="6" w:space="0"/>
          </w:tblBorders>
          <w:tblLayout w:type="fixed"/>
          <w:tblCellMar>
            <w:top w:w="0" w:type="dxa"/>
            <w:left w:w="108" w:type="dxa"/>
            <w:bottom w:w="0" w:type="dxa"/>
            <w:right w:w="108" w:type="dxa"/>
          </w:tblCellMar>
        </w:tblPrEx>
        <w:trPr>
          <w:trHeight w:val="317" w:hRule="atLeast"/>
        </w:trPr>
        <w:tc>
          <w:tcPr>
            <w:tcW w:w="1101" w:type="dxa"/>
            <w:vMerge w:val="continue"/>
            <w:vAlign w:val="center"/>
          </w:tcPr>
          <w:p>
            <w:pPr>
              <w:widowControl/>
              <w:jc w:val="center"/>
              <w:rPr>
                <w:rFonts w:cs="宋体" w:asciiTheme="minorEastAsia" w:hAnsiTheme="minorEastAsia"/>
                <w:sz w:val="24"/>
                <w:szCs w:val="24"/>
              </w:rPr>
            </w:pPr>
          </w:p>
        </w:tc>
        <w:tc>
          <w:tcPr>
            <w:tcW w:w="2125" w:type="dxa"/>
            <w:vAlign w:val="center"/>
          </w:tcPr>
          <w:p>
            <w:pPr>
              <w:widowControl/>
              <w:jc w:val="center"/>
              <w:rPr>
                <w:rFonts w:cs="宋体" w:asciiTheme="minorEastAsia" w:hAnsiTheme="minorEastAsia"/>
                <w:sz w:val="24"/>
                <w:szCs w:val="24"/>
              </w:rPr>
            </w:pPr>
            <w:r>
              <w:rPr>
                <w:rFonts w:hint="eastAsia" w:cs="宋体" w:asciiTheme="minorEastAsia" w:hAnsiTheme="minorEastAsia"/>
                <w:sz w:val="24"/>
                <w:szCs w:val="24"/>
              </w:rPr>
              <w:t>员工满意度</w:t>
            </w:r>
          </w:p>
        </w:tc>
        <w:tc>
          <w:tcPr>
            <w:tcW w:w="1648" w:type="dxa"/>
            <w:vAlign w:val="center"/>
          </w:tcPr>
          <w:p>
            <w:pPr>
              <w:widowControl/>
              <w:jc w:val="center"/>
              <w:rPr>
                <w:rFonts w:cs="宋体" w:asciiTheme="minorEastAsia" w:hAnsiTheme="minorEastAsia"/>
                <w:sz w:val="24"/>
                <w:szCs w:val="24"/>
              </w:rPr>
            </w:pPr>
            <w:r>
              <w:rPr>
                <w:rFonts w:hint="eastAsia" w:cs="宋体" w:asciiTheme="minorEastAsia" w:hAnsiTheme="minorEastAsia"/>
                <w:sz w:val="24"/>
                <w:szCs w:val="24"/>
                <w:lang w:val="en-US" w:eastAsia="zh-CN"/>
              </w:rPr>
              <w:t>72.6</w:t>
            </w:r>
          </w:p>
        </w:tc>
        <w:tc>
          <w:tcPr>
            <w:tcW w:w="2190" w:type="dxa"/>
            <w:vAlign w:val="center"/>
          </w:tcPr>
          <w:p>
            <w:pPr>
              <w:widowControl/>
              <w:jc w:val="center"/>
              <w:rPr>
                <w:rFonts w:cs="宋体" w:asciiTheme="minorEastAsia" w:hAnsiTheme="minorEastAsia"/>
                <w:sz w:val="24"/>
                <w:szCs w:val="24"/>
              </w:rPr>
            </w:pPr>
            <w:r>
              <w:rPr>
                <w:rFonts w:hint="eastAsia" w:cs="宋体" w:asciiTheme="minorEastAsia" w:hAnsiTheme="minorEastAsia"/>
                <w:sz w:val="24"/>
                <w:szCs w:val="24"/>
              </w:rPr>
              <w:t>调查</w:t>
            </w:r>
          </w:p>
        </w:tc>
        <w:tc>
          <w:tcPr>
            <w:tcW w:w="1458" w:type="dxa"/>
            <w:vAlign w:val="center"/>
          </w:tcPr>
          <w:p>
            <w:pPr>
              <w:widowControl/>
              <w:jc w:val="center"/>
              <w:rPr>
                <w:rFonts w:hint="eastAsia" w:cs="宋体" w:asciiTheme="minorEastAsia" w:hAnsiTheme="minorEastAsia" w:eastAsiaTheme="minorEastAsia"/>
                <w:sz w:val="24"/>
                <w:szCs w:val="24"/>
                <w:lang w:eastAsia="zh-CN"/>
              </w:rPr>
            </w:pPr>
            <w:r>
              <w:rPr>
                <w:rFonts w:hint="eastAsia" w:cs="宋体" w:asciiTheme="minorEastAsia" w:hAnsiTheme="minorEastAsia"/>
                <w:sz w:val="24"/>
                <w:szCs w:val="24"/>
                <w:lang w:eastAsia="zh-CN"/>
              </w:rPr>
              <w:t>管理部</w:t>
            </w:r>
          </w:p>
        </w:tc>
      </w:tr>
    </w:tbl>
    <w:p>
      <w:pPr>
        <w:pStyle w:val="4"/>
        <w:spacing w:beforeLines="100" w:line="360" w:lineRule="auto"/>
        <w:rPr>
          <w:rFonts w:ascii="宋体" w:hAnsi="宋体"/>
          <w:b w:val="0"/>
          <w:sz w:val="24"/>
          <w:szCs w:val="24"/>
        </w:rPr>
      </w:pPr>
      <w:bookmarkStart w:id="6" w:name="_Toc370203526"/>
      <w:r>
        <w:rPr>
          <w:rFonts w:hint="eastAsia" w:ascii="宋体" w:hAnsi="宋体"/>
          <w:sz w:val="24"/>
          <w:szCs w:val="24"/>
        </w:rPr>
        <w:t>3、公益支持</w:t>
      </w:r>
      <w:bookmarkEnd w:id="6"/>
    </w:p>
    <w:p>
      <w:pPr>
        <w:spacing w:line="360" w:lineRule="auto"/>
        <w:rPr>
          <w:rFonts w:asciiTheme="minorEastAsia" w:hAnsiTheme="minorEastAsia"/>
          <w:b/>
          <w:sz w:val="24"/>
          <w:szCs w:val="24"/>
        </w:rPr>
      </w:pPr>
      <w:r>
        <w:rPr>
          <w:rFonts w:hint="eastAsia" w:asciiTheme="minorEastAsia" w:hAnsiTheme="minorEastAsia"/>
          <w:b/>
          <w:sz w:val="24"/>
          <w:szCs w:val="24"/>
        </w:rPr>
        <w:t>3.1</w:t>
      </w:r>
      <w:r>
        <w:rPr>
          <w:rFonts w:asciiTheme="minorEastAsia" w:hAnsiTheme="minorEastAsia"/>
          <w:b/>
          <w:sz w:val="24"/>
          <w:szCs w:val="24"/>
        </w:rPr>
        <w:t>.</w:t>
      </w:r>
      <w:r>
        <w:rPr>
          <w:rFonts w:hint="eastAsia" w:asciiTheme="minorEastAsia" w:hAnsiTheme="minorEastAsia"/>
          <w:b/>
          <w:sz w:val="24"/>
          <w:szCs w:val="24"/>
        </w:rPr>
        <w:t>支持公益事业、确定重点支持领域</w:t>
      </w:r>
    </w:p>
    <w:p>
      <w:pPr>
        <w:spacing w:line="360" w:lineRule="auto"/>
        <w:rPr>
          <w:rFonts w:asciiTheme="minorEastAsia" w:hAnsiTheme="minorEastAsia"/>
          <w:sz w:val="24"/>
          <w:szCs w:val="24"/>
        </w:rPr>
      </w:pPr>
      <w:r>
        <w:rPr>
          <w:rFonts w:asciiTheme="minorEastAsia" w:hAnsiTheme="minorEastAsia"/>
          <w:sz w:val="24"/>
          <w:szCs w:val="24"/>
        </w:rPr>
        <w:t xml:space="preserve">    </w:t>
      </w:r>
      <w:r>
        <w:rPr>
          <w:rFonts w:hint="eastAsia" w:asciiTheme="minorEastAsia" w:hAnsiTheme="minorEastAsia"/>
          <w:sz w:val="24"/>
          <w:szCs w:val="24"/>
        </w:rPr>
        <w:t>公司高层领导按照“振兴地方经济、回报社会”的责任意识，依据公司的发展方向和战略重点，把支持当地经济和行业发展、教育文化事业、公共设施建设、环境建设、慈善事业等方面作为公益事业重点支持方向，积极有效地开展公益活动。</w:t>
      </w:r>
    </w:p>
    <w:p>
      <w:pPr>
        <w:tabs>
          <w:tab w:val="left" w:pos="2982"/>
        </w:tabs>
        <w:spacing w:line="360" w:lineRule="auto"/>
        <w:ind w:firstLine="482" w:firstLineChars="200"/>
        <w:jc w:val="center"/>
        <w:rPr>
          <w:rFonts w:asciiTheme="minorEastAsia" w:hAnsiTheme="minorEastAsia"/>
          <w:b/>
          <w:sz w:val="24"/>
          <w:szCs w:val="24"/>
        </w:rPr>
      </w:pPr>
      <w:r>
        <w:rPr>
          <w:rFonts w:hint="eastAsia" w:asciiTheme="minorEastAsia" w:hAnsiTheme="minorEastAsia"/>
          <w:b/>
          <w:sz w:val="24"/>
          <w:szCs w:val="24"/>
        </w:rPr>
        <w:t>公司公益支持活动内容</w:t>
      </w:r>
    </w:p>
    <w:tbl>
      <w:tblPr>
        <w:tblStyle w:val="39"/>
        <w:tblW w:w="8358" w:type="dxa"/>
        <w:tblInd w:w="0" w:type="dxa"/>
        <w:tblBorders>
          <w:top w:val="thinThickSmallGap" w:color="008080" w:sz="18" w:space="0"/>
          <w:left w:val="thinThickSmallGap" w:color="008080" w:sz="18" w:space="0"/>
          <w:bottom w:val="thickThinSmallGap" w:color="008080" w:sz="18" w:space="0"/>
          <w:right w:val="thickThinSmallGap" w:color="008080" w:sz="18" w:space="0"/>
          <w:insideH w:val="single" w:color="008080" w:sz="6" w:space="0"/>
          <w:insideV w:val="single" w:color="008080" w:sz="6" w:space="0"/>
        </w:tblBorders>
        <w:tblLayout w:type="fixed"/>
        <w:tblCellMar>
          <w:top w:w="0" w:type="dxa"/>
          <w:left w:w="108" w:type="dxa"/>
          <w:bottom w:w="0" w:type="dxa"/>
          <w:right w:w="108" w:type="dxa"/>
        </w:tblCellMar>
      </w:tblPr>
      <w:tblGrid>
        <w:gridCol w:w="602"/>
        <w:gridCol w:w="1927"/>
        <w:gridCol w:w="2497"/>
        <w:gridCol w:w="1036"/>
        <w:gridCol w:w="1297"/>
        <w:gridCol w:w="999"/>
      </w:tblGrid>
      <w:tr>
        <w:tblPrEx>
          <w:tblBorders>
            <w:top w:val="thinThickSmallGap" w:color="008080" w:sz="18" w:space="0"/>
            <w:left w:val="thinThickSmallGap" w:color="008080" w:sz="18" w:space="0"/>
            <w:bottom w:val="thickThinSmallGap" w:color="008080" w:sz="18" w:space="0"/>
            <w:right w:val="thickThinSmallGap" w:color="008080" w:sz="18" w:space="0"/>
            <w:insideH w:val="single" w:color="008080" w:sz="6" w:space="0"/>
            <w:insideV w:val="single" w:color="008080" w:sz="6" w:space="0"/>
          </w:tblBorders>
          <w:tblLayout w:type="fixed"/>
          <w:tblCellMar>
            <w:top w:w="0" w:type="dxa"/>
            <w:left w:w="108" w:type="dxa"/>
            <w:bottom w:w="0" w:type="dxa"/>
            <w:right w:w="108" w:type="dxa"/>
          </w:tblCellMar>
        </w:tblPrEx>
        <w:trPr>
          <w:trHeight w:val="20" w:hRule="atLeast"/>
        </w:trPr>
        <w:tc>
          <w:tcPr>
            <w:tcW w:w="602" w:type="dxa"/>
            <w:vMerge w:val="restart"/>
            <w:shd w:val="clear" w:color="auto" w:fill="FFFFFF"/>
            <w:vAlign w:val="center"/>
          </w:tcPr>
          <w:p>
            <w:pPr>
              <w:widowControl/>
              <w:spacing w:line="276" w:lineRule="auto"/>
              <w:jc w:val="center"/>
              <w:rPr>
                <w:rFonts w:cs="宋体" w:asciiTheme="minorEastAsia" w:hAnsiTheme="minorEastAsia"/>
                <w:b/>
                <w:bCs/>
                <w:sz w:val="24"/>
                <w:szCs w:val="24"/>
              </w:rPr>
            </w:pPr>
            <w:r>
              <w:rPr>
                <w:rFonts w:hint="eastAsia" w:cs="宋体" w:asciiTheme="minorEastAsia" w:hAnsiTheme="minorEastAsia"/>
                <w:b/>
                <w:bCs/>
                <w:sz w:val="24"/>
                <w:szCs w:val="24"/>
              </w:rPr>
              <w:t>序号</w:t>
            </w:r>
          </w:p>
        </w:tc>
        <w:tc>
          <w:tcPr>
            <w:tcW w:w="1927" w:type="dxa"/>
            <w:vMerge w:val="restart"/>
            <w:shd w:val="clear" w:color="auto" w:fill="FFFFFF"/>
            <w:vAlign w:val="center"/>
          </w:tcPr>
          <w:p>
            <w:pPr>
              <w:widowControl/>
              <w:spacing w:line="276" w:lineRule="auto"/>
              <w:jc w:val="center"/>
              <w:rPr>
                <w:rFonts w:cs="宋体" w:asciiTheme="minorEastAsia" w:hAnsiTheme="minorEastAsia"/>
                <w:b/>
                <w:bCs/>
                <w:sz w:val="24"/>
                <w:szCs w:val="24"/>
              </w:rPr>
            </w:pPr>
            <w:r>
              <w:rPr>
                <w:rFonts w:hint="eastAsia" w:cs="宋体" w:asciiTheme="minorEastAsia" w:hAnsiTheme="minorEastAsia"/>
                <w:b/>
                <w:bCs/>
                <w:sz w:val="24"/>
                <w:szCs w:val="24"/>
              </w:rPr>
              <w:t>支持重点</w:t>
            </w:r>
          </w:p>
        </w:tc>
        <w:tc>
          <w:tcPr>
            <w:tcW w:w="2497" w:type="dxa"/>
            <w:vMerge w:val="restart"/>
            <w:shd w:val="clear" w:color="auto" w:fill="FFFFFF"/>
            <w:vAlign w:val="center"/>
          </w:tcPr>
          <w:p>
            <w:pPr>
              <w:widowControl/>
              <w:spacing w:line="276" w:lineRule="auto"/>
              <w:jc w:val="center"/>
              <w:rPr>
                <w:rFonts w:cs="宋体" w:asciiTheme="minorEastAsia" w:hAnsiTheme="minorEastAsia"/>
                <w:b/>
                <w:bCs/>
                <w:sz w:val="24"/>
                <w:szCs w:val="24"/>
              </w:rPr>
            </w:pPr>
            <w:r>
              <w:rPr>
                <w:rFonts w:hint="eastAsia" w:cs="宋体" w:asciiTheme="minorEastAsia" w:hAnsiTheme="minorEastAsia"/>
                <w:b/>
                <w:bCs/>
                <w:sz w:val="24"/>
                <w:szCs w:val="24"/>
              </w:rPr>
              <w:t>具体内容</w:t>
            </w:r>
          </w:p>
        </w:tc>
        <w:tc>
          <w:tcPr>
            <w:tcW w:w="1036" w:type="dxa"/>
            <w:shd w:val="clear" w:color="auto" w:fill="FFFFFF"/>
            <w:vAlign w:val="center"/>
          </w:tcPr>
          <w:p>
            <w:pPr>
              <w:widowControl/>
              <w:spacing w:line="276" w:lineRule="auto"/>
              <w:jc w:val="center"/>
              <w:rPr>
                <w:rFonts w:cs="宋体" w:asciiTheme="minorEastAsia" w:hAnsiTheme="minorEastAsia"/>
                <w:b/>
                <w:bCs/>
                <w:sz w:val="24"/>
                <w:szCs w:val="24"/>
              </w:rPr>
            </w:pPr>
            <w:r>
              <w:rPr>
                <w:rFonts w:hint="eastAsia" w:cs="宋体" w:asciiTheme="minorEastAsia" w:hAnsiTheme="minorEastAsia"/>
                <w:b/>
                <w:bCs/>
                <w:sz w:val="24"/>
                <w:szCs w:val="24"/>
              </w:rPr>
              <w:t>实施</w:t>
            </w:r>
          </w:p>
        </w:tc>
        <w:tc>
          <w:tcPr>
            <w:tcW w:w="1297" w:type="dxa"/>
            <w:vMerge w:val="restart"/>
            <w:shd w:val="clear" w:color="auto" w:fill="FFFFFF"/>
            <w:vAlign w:val="center"/>
          </w:tcPr>
          <w:p>
            <w:pPr>
              <w:widowControl/>
              <w:spacing w:line="276" w:lineRule="auto"/>
              <w:jc w:val="center"/>
              <w:rPr>
                <w:rFonts w:cs="宋体" w:asciiTheme="minorEastAsia" w:hAnsiTheme="minorEastAsia"/>
                <w:b/>
                <w:bCs/>
                <w:sz w:val="24"/>
                <w:szCs w:val="24"/>
              </w:rPr>
            </w:pPr>
            <w:r>
              <w:rPr>
                <w:rFonts w:hint="eastAsia" w:cs="宋体" w:asciiTheme="minorEastAsia" w:hAnsiTheme="minorEastAsia"/>
                <w:b/>
                <w:bCs/>
                <w:sz w:val="24"/>
                <w:szCs w:val="24"/>
              </w:rPr>
              <w:t>支持方式</w:t>
            </w:r>
          </w:p>
        </w:tc>
        <w:tc>
          <w:tcPr>
            <w:tcW w:w="999" w:type="dxa"/>
            <w:vMerge w:val="restart"/>
            <w:shd w:val="clear" w:color="auto" w:fill="FFFFFF"/>
            <w:vAlign w:val="center"/>
          </w:tcPr>
          <w:p>
            <w:pPr>
              <w:widowControl/>
              <w:spacing w:line="276" w:lineRule="auto"/>
              <w:ind w:left="-430" w:leftChars="-205" w:firstLine="516" w:firstLineChars="214"/>
              <w:jc w:val="center"/>
              <w:rPr>
                <w:rFonts w:cs="宋体" w:asciiTheme="minorEastAsia" w:hAnsiTheme="minorEastAsia"/>
                <w:b/>
                <w:bCs/>
                <w:sz w:val="24"/>
                <w:szCs w:val="24"/>
              </w:rPr>
            </w:pPr>
            <w:r>
              <w:rPr>
                <w:rFonts w:hint="eastAsia" w:cs="宋体" w:asciiTheme="minorEastAsia" w:hAnsiTheme="minorEastAsia"/>
                <w:b/>
                <w:bCs/>
                <w:sz w:val="24"/>
                <w:szCs w:val="24"/>
              </w:rPr>
              <w:t>保证机制</w:t>
            </w:r>
          </w:p>
        </w:tc>
      </w:tr>
      <w:tr>
        <w:tblPrEx>
          <w:tblBorders>
            <w:top w:val="thinThickSmallGap" w:color="008080" w:sz="18" w:space="0"/>
            <w:left w:val="thinThickSmallGap" w:color="008080" w:sz="18" w:space="0"/>
            <w:bottom w:val="thickThinSmallGap" w:color="008080" w:sz="18" w:space="0"/>
            <w:right w:val="thickThinSmallGap" w:color="008080" w:sz="18" w:space="0"/>
            <w:insideH w:val="single" w:color="008080" w:sz="6" w:space="0"/>
            <w:insideV w:val="single" w:color="008080" w:sz="6" w:space="0"/>
          </w:tblBorders>
          <w:tblLayout w:type="fixed"/>
          <w:tblCellMar>
            <w:top w:w="0" w:type="dxa"/>
            <w:left w:w="108" w:type="dxa"/>
            <w:bottom w:w="0" w:type="dxa"/>
            <w:right w:w="108" w:type="dxa"/>
          </w:tblCellMar>
        </w:tblPrEx>
        <w:trPr>
          <w:trHeight w:val="20" w:hRule="atLeast"/>
        </w:trPr>
        <w:tc>
          <w:tcPr>
            <w:tcW w:w="602" w:type="dxa"/>
            <w:vMerge w:val="continue"/>
            <w:shd w:val="clear" w:color="auto" w:fill="FFFFFF"/>
            <w:vAlign w:val="center"/>
          </w:tcPr>
          <w:p>
            <w:pPr>
              <w:widowControl/>
              <w:spacing w:line="276" w:lineRule="auto"/>
              <w:jc w:val="left"/>
              <w:rPr>
                <w:rFonts w:cs="宋体" w:asciiTheme="minorEastAsia" w:hAnsiTheme="minorEastAsia"/>
                <w:b/>
                <w:bCs/>
                <w:sz w:val="24"/>
                <w:szCs w:val="24"/>
              </w:rPr>
            </w:pPr>
          </w:p>
        </w:tc>
        <w:tc>
          <w:tcPr>
            <w:tcW w:w="1927" w:type="dxa"/>
            <w:vMerge w:val="continue"/>
            <w:shd w:val="clear" w:color="auto" w:fill="FFFFFF"/>
            <w:vAlign w:val="center"/>
          </w:tcPr>
          <w:p>
            <w:pPr>
              <w:widowControl/>
              <w:spacing w:line="276" w:lineRule="auto"/>
              <w:jc w:val="left"/>
              <w:rPr>
                <w:rFonts w:cs="宋体" w:asciiTheme="minorEastAsia" w:hAnsiTheme="minorEastAsia"/>
                <w:b/>
                <w:bCs/>
                <w:sz w:val="24"/>
                <w:szCs w:val="24"/>
              </w:rPr>
            </w:pPr>
          </w:p>
        </w:tc>
        <w:tc>
          <w:tcPr>
            <w:tcW w:w="2497" w:type="dxa"/>
            <w:vMerge w:val="continue"/>
            <w:shd w:val="clear" w:color="auto" w:fill="FFFFFF"/>
            <w:vAlign w:val="center"/>
          </w:tcPr>
          <w:p>
            <w:pPr>
              <w:widowControl/>
              <w:spacing w:line="276" w:lineRule="auto"/>
              <w:jc w:val="left"/>
              <w:rPr>
                <w:rFonts w:cs="宋体" w:asciiTheme="minorEastAsia" w:hAnsiTheme="minorEastAsia"/>
                <w:b/>
                <w:bCs/>
                <w:sz w:val="24"/>
                <w:szCs w:val="24"/>
              </w:rPr>
            </w:pPr>
          </w:p>
        </w:tc>
        <w:tc>
          <w:tcPr>
            <w:tcW w:w="1036" w:type="dxa"/>
            <w:shd w:val="clear" w:color="auto" w:fill="FFFFFF"/>
            <w:vAlign w:val="center"/>
          </w:tcPr>
          <w:p>
            <w:pPr>
              <w:widowControl/>
              <w:spacing w:line="276" w:lineRule="auto"/>
              <w:jc w:val="center"/>
              <w:rPr>
                <w:rFonts w:cs="宋体" w:asciiTheme="minorEastAsia" w:hAnsiTheme="minorEastAsia"/>
                <w:b/>
                <w:bCs/>
                <w:sz w:val="24"/>
                <w:szCs w:val="24"/>
              </w:rPr>
            </w:pPr>
            <w:r>
              <w:rPr>
                <w:rFonts w:hint="eastAsia" w:cs="宋体" w:asciiTheme="minorEastAsia" w:hAnsiTheme="minorEastAsia"/>
                <w:b/>
                <w:bCs/>
                <w:sz w:val="24"/>
                <w:szCs w:val="24"/>
              </w:rPr>
              <w:t>时间</w:t>
            </w:r>
          </w:p>
        </w:tc>
        <w:tc>
          <w:tcPr>
            <w:tcW w:w="1297" w:type="dxa"/>
            <w:vMerge w:val="continue"/>
            <w:shd w:val="clear" w:color="auto" w:fill="FFFFFF"/>
            <w:vAlign w:val="center"/>
          </w:tcPr>
          <w:p>
            <w:pPr>
              <w:widowControl/>
              <w:spacing w:line="276" w:lineRule="auto"/>
              <w:jc w:val="left"/>
              <w:rPr>
                <w:rFonts w:cs="宋体" w:asciiTheme="minorEastAsia" w:hAnsiTheme="minorEastAsia"/>
                <w:b/>
                <w:bCs/>
                <w:sz w:val="24"/>
                <w:szCs w:val="24"/>
              </w:rPr>
            </w:pPr>
          </w:p>
        </w:tc>
        <w:tc>
          <w:tcPr>
            <w:tcW w:w="999" w:type="dxa"/>
            <w:vMerge w:val="continue"/>
            <w:shd w:val="clear" w:color="auto" w:fill="FFFFFF"/>
            <w:vAlign w:val="center"/>
          </w:tcPr>
          <w:p>
            <w:pPr>
              <w:widowControl/>
              <w:spacing w:line="276" w:lineRule="auto"/>
              <w:jc w:val="left"/>
              <w:rPr>
                <w:rFonts w:cs="宋体" w:asciiTheme="minorEastAsia" w:hAnsiTheme="minorEastAsia"/>
                <w:b/>
                <w:bCs/>
                <w:sz w:val="24"/>
                <w:szCs w:val="24"/>
              </w:rPr>
            </w:pPr>
          </w:p>
        </w:tc>
      </w:tr>
      <w:tr>
        <w:tblPrEx>
          <w:tblBorders>
            <w:top w:val="thinThickSmallGap" w:color="008080" w:sz="18" w:space="0"/>
            <w:left w:val="thinThickSmallGap" w:color="008080" w:sz="18" w:space="0"/>
            <w:bottom w:val="thickThinSmallGap" w:color="008080" w:sz="18" w:space="0"/>
            <w:right w:val="thickThinSmallGap" w:color="008080" w:sz="18" w:space="0"/>
            <w:insideH w:val="single" w:color="008080" w:sz="6" w:space="0"/>
            <w:insideV w:val="single" w:color="008080" w:sz="6" w:space="0"/>
          </w:tblBorders>
          <w:tblLayout w:type="fixed"/>
          <w:tblCellMar>
            <w:top w:w="0" w:type="dxa"/>
            <w:left w:w="108" w:type="dxa"/>
            <w:bottom w:w="0" w:type="dxa"/>
            <w:right w:w="108" w:type="dxa"/>
          </w:tblCellMar>
        </w:tblPrEx>
        <w:trPr>
          <w:trHeight w:val="20" w:hRule="atLeast"/>
        </w:trPr>
        <w:tc>
          <w:tcPr>
            <w:tcW w:w="602" w:type="dxa"/>
            <w:vMerge w:val="restart"/>
            <w:shd w:val="clear" w:color="auto" w:fill="FFFFFF"/>
            <w:vAlign w:val="center"/>
          </w:tcPr>
          <w:p>
            <w:pPr>
              <w:widowControl/>
              <w:spacing w:line="276" w:lineRule="auto"/>
              <w:jc w:val="center"/>
              <w:rPr>
                <w:rFonts w:cs="宋体" w:asciiTheme="minorEastAsia" w:hAnsiTheme="minorEastAsia"/>
                <w:sz w:val="24"/>
                <w:szCs w:val="24"/>
              </w:rPr>
            </w:pPr>
            <w:r>
              <w:rPr>
                <w:rFonts w:cs="宋体" w:asciiTheme="minorEastAsia" w:hAnsiTheme="minorEastAsia"/>
                <w:sz w:val="24"/>
                <w:szCs w:val="24"/>
              </w:rPr>
              <w:t>1</w:t>
            </w:r>
          </w:p>
        </w:tc>
        <w:tc>
          <w:tcPr>
            <w:tcW w:w="1927" w:type="dxa"/>
            <w:vMerge w:val="restart"/>
            <w:shd w:val="clear" w:color="auto" w:fill="FFFFFF"/>
            <w:vAlign w:val="center"/>
          </w:tcPr>
          <w:p>
            <w:pPr>
              <w:widowControl/>
              <w:spacing w:line="276" w:lineRule="auto"/>
              <w:rPr>
                <w:rFonts w:cs="宋体" w:asciiTheme="minorEastAsia" w:hAnsiTheme="minorEastAsia"/>
                <w:sz w:val="24"/>
                <w:szCs w:val="24"/>
              </w:rPr>
            </w:pPr>
            <w:r>
              <w:rPr>
                <w:rFonts w:hint="eastAsia" w:cs="宋体" w:asciiTheme="minorEastAsia" w:hAnsiTheme="minorEastAsia"/>
                <w:sz w:val="24"/>
                <w:szCs w:val="24"/>
              </w:rPr>
              <w:t>当地经济和行业发展</w:t>
            </w:r>
          </w:p>
        </w:tc>
        <w:tc>
          <w:tcPr>
            <w:tcW w:w="2497" w:type="dxa"/>
            <w:vMerge w:val="restart"/>
            <w:shd w:val="clear" w:color="auto" w:fill="FFFFFF"/>
            <w:vAlign w:val="center"/>
          </w:tcPr>
          <w:p>
            <w:pPr>
              <w:widowControl/>
              <w:spacing w:line="276" w:lineRule="auto"/>
              <w:rPr>
                <w:rFonts w:cs="宋体" w:asciiTheme="minorEastAsia" w:hAnsiTheme="minorEastAsia"/>
                <w:sz w:val="24"/>
                <w:szCs w:val="24"/>
              </w:rPr>
            </w:pPr>
            <w:r>
              <w:rPr>
                <w:rFonts w:hint="eastAsia" w:cs="宋体" w:asciiTheme="minorEastAsia" w:hAnsiTheme="minorEastAsia"/>
                <w:sz w:val="24"/>
                <w:szCs w:val="24"/>
              </w:rPr>
              <w:t>扶贫脱困</w:t>
            </w:r>
            <w:r>
              <w:rPr>
                <w:rFonts w:cs="宋体" w:asciiTheme="minorEastAsia" w:hAnsiTheme="minorEastAsia"/>
                <w:sz w:val="24"/>
                <w:szCs w:val="24"/>
              </w:rPr>
              <w:t>,</w:t>
            </w:r>
            <w:r>
              <w:rPr>
                <w:rFonts w:hint="eastAsia" w:cs="宋体" w:asciiTheme="minorEastAsia" w:hAnsiTheme="minorEastAsia"/>
                <w:sz w:val="24"/>
                <w:szCs w:val="24"/>
              </w:rPr>
              <w:t>招聘招工</w:t>
            </w:r>
          </w:p>
        </w:tc>
        <w:tc>
          <w:tcPr>
            <w:tcW w:w="1036" w:type="dxa"/>
            <w:vMerge w:val="restart"/>
            <w:shd w:val="clear" w:color="auto" w:fill="FFFFFF"/>
            <w:vAlign w:val="center"/>
          </w:tcPr>
          <w:p>
            <w:pPr>
              <w:widowControl/>
              <w:spacing w:line="276" w:lineRule="auto"/>
              <w:jc w:val="center"/>
              <w:rPr>
                <w:rFonts w:cs="宋体" w:asciiTheme="minorEastAsia" w:hAnsiTheme="minorEastAsia"/>
                <w:sz w:val="24"/>
                <w:szCs w:val="24"/>
              </w:rPr>
            </w:pPr>
            <w:r>
              <w:rPr>
                <w:rFonts w:hint="eastAsia" w:cs="宋体" w:asciiTheme="minorEastAsia" w:hAnsiTheme="minorEastAsia"/>
                <w:sz w:val="24"/>
                <w:szCs w:val="24"/>
              </w:rPr>
              <w:t>长期</w:t>
            </w:r>
          </w:p>
        </w:tc>
        <w:tc>
          <w:tcPr>
            <w:tcW w:w="1297" w:type="dxa"/>
            <w:shd w:val="clear" w:color="auto" w:fill="FFFFFF"/>
            <w:vAlign w:val="center"/>
          </w:tcPr>
          <w:p>
            <w:pPr>
              <w:widowControl/>
              <w:spacing w:line="276" w:lineRule="auto"/>
              <w:jc w:val="center"/>
              <w:rPr>
                <w:rFonts w:cs="宋体" w:asciiTheme="minorEastAsia" w:hAnsiTheme="minorEastAsia"/>
                <w:sz w:val="24"/>
                <w:szCs w:val="24"/>
              </w:rPr>
            </w:pPr>
            <w:r>
              <w:rPr>
                <w:rFonts w:hint="eastAsia" w:cs="宋体" w:asciiTheme="minorEastAsia" w:hAnsiTheme="minorEastAsia"/>
                <w:sz w:val="24"/>
                <w:szCs w:val="24"/>
              </w:rPr>
              <w:t>捐资</w:t>
            </w:r>
          </w:p>
        </w:tc>
        <w:tc>
          <w:tcPr>
            <w:tcW w:w="999" w:type="dxa"/>
            <w:shd w:val="clear" w:color="auto" w:fill="FFFFFF"/>
            <w:vAlign w:val="center"/>
          </w:tcPr>
          <w:p>
            <w:pPr>
              <w:widowControl/>
              <w:spacing w:line="276" w:lineRule="auto"/>
              <w:jc w:val="center"/>
              <w:rPr>
                <w:rFonts w:cs="宋体" w:asciiTheme="minorEastAsia" w:hAnsiTheme="minorEastAsia"/>
                <w:sz w:val="24"/>
                <w:szCs w:val="24"/>
              </w:rPr>
            </w:pPr>
            <w:r>
              <w:rPr>
                <w:rFonts w:hint="eastAsia" w:cs="宋体" w:asciiTheme="minorEastAsia" w:hAnsiTheme="minorEastAsia"/>
                <w:sz w:val="24"/>
                <w:szCs w:val="24"/>
              </w:rPr>
              <w:t>协议承诺</w:t>
            </w:r>
          </w:p>
        </w:tc>
      </w:tr>
      <w:tr>
        <w:tblPrEx>
          <w:tblBorders>
            <w:top w:val="thinThickSmallGap" w:color="008080" w:sz="18" w:space="0"/>
            <w:left w:val="thinThickSmallGap" w:color="008080" w:sz="18" w:space="0"/>
            <w:bottom w:val="thickThinSmallGap" w:color="008080" w:sz="18" w:space="0"/>
            <w:right w:val="thickThinSmallGap" w:color="008080" w:sz="18" w:space="0"/>
            <w:insideH w:val="single" w:color="008080" w:sz="6" w:space="0"/>
            <w:insideV w:val="single" w:color="008080" w:sz="6" w:space="0"/>
          </w:tblBorders>
          <w:tblLayout w:type="fixed"/>
          <w:tblCellMar>
            <w:top w:w="0" w:type="dxa"/>
            <w:left w:w="108" w:type="dxa"/>
            <w:bottom w:w="0" w:type="dxa"/>
            <w:right w:w="108" w:type="dxa"/>
          </w:tblCellMar>
        </w:tblPrEx>
        <w:trPr>
          <w:trHeight w:val="20" w:hRule="atLeast"/>
        </w:trPr>
        <w:tc>
          <w:tcPr>
            <w:tcW w:w="602" w:type="dxa"/>
            <w:vMerge w:val="continue"/>
            <w:shd w:val="clear" w:color="auto" w:fill="FFFFFF"/>
            <w:vAlign w:val="center"/>
          </w:tcPr>
          <w:p>
            <w:pPr>
              <w:widowControl/>
              <w:spacing w:line="276" w:lineRule="auto"/>
              <w:jc w:val="left"/>
              <w:rPr>
                <w:rFonts w:cs="宋体" w:asciiTheme="minorEastAsia" w:hAnsiTheme="minorEastAsia"/>
                <w:sz w:val="24"/>
                <w:szCs w:val="24"/>
              </w:rPr>
            </w:pPr>
          </w:p>
        </w:tc>
        <w:tc>
          <w:tcPr>
            <w:tcW w:w="1927" w:type="dxa"/>
            <w:vMerge w:val="continue"/>
            <w:shd w:val="clear" w:color="auto" w:fill="FFFFFF"/>
            <w:vAlign w:val="center"/>
          </w:tcPr>
          <w:p>
            <w:pPr>
              <w:widowControl/>
              <w:spacing w:line="276" w:lineRule="auto"/>
              <w:jc w:val="left"/>
              <w:rPr>
                <w:rFonts w:cs="宋体" w:asciiTheme="minorEastAsia" w:hAnsiTheme="minorEastAsia"/>
                <w:sz w:val="24"/>
                <w:szCs w:val="24"/>
              </w:rPr>
            </w:pPr>
          </w:p>
        </w:tc>
        <w:tc>
          <w:tcPr>
            <w:tcW w:w="2497" w:type="dxa"/>
            <w:vMerge w:val="continue"/>
            <w:shd w:val="clear" w:color="auto" w:fill="FFFFFF"/>
            <w:vAlign w:val="center"/>
          </w:tcPr>
          <w:p>
            <w:pPr>
              <w:widowControl/>
              <w:spacing w:line="276" w:lineRule="auto"/>
              <w:jc w:val="left"/>
              <w:rPr>
                <w:rFonts w:cs="宋体" w:asciiTheme="minorEastAsia" w:hAnsiTheme="minorEastAsia"/>
                <w:sz w:val="24"/>
                <w:szCs w:val="24"/>
              </w:rPr>
            </w:pPr>
          </w:p>
        </w:tc>
        <w:tc>
          <w:tcPr>
            <w:tcW w:w="1036" w:type="dxa"/>
            <w:vMerge w:val="continue"/>
            <w:shd w:val="clear" w:color="auto" w:fill="FFFFFF"/>
            <w:vAlign w:val="center"/>
          </w:tcPr>
          <w:p>
            <w:pPr>
              <w:widowControl/>
              <w:spacing w:line="276" w:lineRule="auto"/>
              <w:jc w:val="left"/>
              <w:rPr>
                <w:rFonts w:cs="宋体" w:asciiTheme="minorEastAsia" w:hAnsiTheme="minorEastAsia"/>
                <w:sz w:val="24"/>
                <w:szCs w:val="24"/>
              </w:rPr>
            </w:pPr>
          </w:p>
        </w:tc>
        <w:tc>
          <w:tcPr>
            <w:tcW w:w="1297" w:type="dxa"/>
            <w:shd w:val="clear" w:color="auto" w:fill="FFFFFF"/>
            <w:vAlign w:val="center"/>
          </w:tcPr>
          <w:p>
            <w:pPr>
              <w:widowControl/>
              <w:spacing w:line="276" w:lineRule="auto"/>
              <w:jc w:val="center"/>
              <w:rPr>
                <w:rFonts w:cs="宋体" w:asciiTheme="minorEastAsia" w:hAnsiTheme="minorEastAsia"/>
                <w:sz w:val="24"/>
                <w:szCs w:val="24"/>
              </w:rPr>
            </w:pPr>
            <w:r>
              <w:rPr>
                <w:rFonts w:hint="eastAsia" w:cs="宋体" w:asciiTheme="minorEastAsia" w:hAnsiTheme="minorEastAsia"/>
                <w:sz w:val="24"/>
                <w:szCs w:val="24"/>
              </w:rPr>
              <w:t>提供就业机会</w:t>
            </w:r>
          </w:p>
        </w:tc>
        <w:tc>
          <w:tcPr>
            <w:tcW w:w="999" w:type="dxa"/>
            <w:shd w:val="clear" w:color="auto" w:fill="FFFFFF"/>
            <w:vAlign w:val="center"/>
          </w:tcPr>
          <w:p>
            <w:pPr>
              <w:widowControl/>
              <w:spacing w:line="276" w:lineRule="auto"/>
              <w:jc w:val="center"/>
              <w:rPr>
                <w:rFonts w:cs="宋体" w:asciiTheme="minorEastAsia" w:hAnsiTheme="minorEastAsia"/>
                <w:sz w:val="24"/>
                <w:szCs w:val="24"/>
              </w:rPr>
            </w:pPr>
            <w:r>
              <w:rPr>
                <w:rFonts w:hint="eastAsia" w:cs="宋体" w:asciiTheme="minorEastAsia" w:hAnsiTheme="minorEastAsia"/>
                <w:sz w:val="24"/>
                <w:szCs w:val="24"/>
              </w:rPr>
              <w:t>政府监督</w:t>
            </w:r>
          </w:p>
        </w:tc>
      </w:tr>
      <w:tr>
        <w:tblPrEx>
          <w:tblBorders>
            <w:top w:val="thinThickSmallGap" w:color="008080" w:sz="18" w:space="0"/>
            <w:left w:val="thinThickSmallGap" w:color="008080" w:sz="18" w:space="0"/>
            <w:bottom w:val="thickThinSmallGap" w:color="008080" w:sz="18" w:space="0"/>
            <w:right w:val="thickThinSmallGap" w:color="008080" w:sz="18" w:space="0"/>
            <w:insideH w:val="single" w:color="008080" w:sz="6" w:space="0"/>
            <w:insideV w:val="single" w:color="008080" w:sz="6" w:space="0"/>
          </w:tblBorders>
          <w:tblLayout w:type="fixed"/>
          <w:tblCellMar>
            <w:top w:w="0" w:type="dxa"/>
            <w:left w:w="108" w:type="dxa"/>
            <w:bottom w:w="0" w:type="dxa"/>
            <w:right w:w="108" w:type="dxa"/>
          </w:tblCellMar>
        </w:tblPrEx>
        <w:trPr>
          <w:trHeight w:val="20" w:hRule="atLeast"/>
        </w:trPr>
        <w:tc>
          <w:tcPr>
            <w:tcW w:w="602" w:type="dxa"/>
            <w:shd w:val="clear" w:color="auto" w:fill="FFFFFF"/>
            <w:vAlign w:val="center"/>
          </w:tcPr>
          <w:p>
            <w:pPr>
              <w:widowControl/>
              <w:spacing w:line="276" w:lineRule="auto"/>
              <w:jc w:val="center"/>
              <w:rPr>
                <w:rFonts w:cs="宋体" w:asciiTheme="minorEastAsia" w:hAnsiTheme="minorEastAsia"/>
                <w:sz w:val="24"/>
                <w:szCs w:val="24"/>
              </w:rPr>
            </w:pPr>
            <w:r>
              <w:rPr>
                <w:rFonts w:cs="宋体" w:asciiTheme="minorEastAsia" w:hAnsiTheme="minorEastAsia"/>
                <w:sz w:val="24"/>
                <w:szCs w:val="24"/>
              </w:rPr>
              <w:t>3</w:t>
            </w:r>
          </w:p>
        </w:tc>
        <w:tc>
          <w:tcPr>
            <w:tcW w:w="1927" w:type="dxa"/>
            <w:shd w:val="clear" w:color="auto" w:fill="FFFFFF"/>
            <w:vAlign w:val="center"/>
          </w:tcPr>
          <w:p>
            <w:pPr>
              <w:widowControl/>
              <w:spacing w:line="276" w:lineRule="auto"/>
              <w:rPr>
                <w:rFonts w:cs="宋体" w:asciiTheme="minorEastAsia" w:hAnsiTheme="minorEastAsia"/>
                <w:sz w:val="24"/>
                <w:szCs w:val="24"/>
              </w:rPr>
            </w:pPr>
            <w:r>
              <w:rPr>
                <w:rFonts w:hint="eastAsia" w:cs="宋体" w:asciiTheme="minorEastAsia" w:hAnsiTheme="minorEastAsia"/>
                <w:sz w:val="24"/>
                <w:szCs w:val="24"/>
              </w:rPr>
              <w:t>公共设施建设</w:t>
            </w:r>
          </w:p>
        </w:tc>
        <w:tc>
          <w:tcPr>
            <w:tcW w:w="2497" w:type="dxa"/>
            <w:shd w:val="clear" w:color="auto" w:fill="FFFFFF"/>
            <w:vAlign w:val="center"/>
          </w:tcPr>
          <w:p>
            <w:pPr>
              <w:widowControl/>
              <w:spacing w:line="276" w:lineRule="auto"/>
              <w:rPr>
                <w:rFonts w:cs="宋体" w:asciiTheme="minorEastAsia" w:hAnsiTheme="minorEastAsia"/>
                <w:sz w:val="24"/>
                <w:szCs w:val="24"/>
              </w:rPr>
            </w:pPr>
            <w:r>
              <w:rPr>
                <w:rFonts w:hint="eastAsia" w:cs="宋体" w:asciiTheme="minorEastAsia" w:hAnsiTheme="minorEastAsia"/>
                <w:sz w:val="24"/>
                <w:szCs w:val="24"/>
              </w:rPr>
              <w:t>　</w:t>
            </w:r>
          </w:p>
        </w:tc>
        <w:tc>
          <w:tcPr>
            <w:tcW w:w="1036" w:type="dxa"/>
            <w:shd w:val="clear" w:color="auto" w:fill="FFFFFF"/>
            <w:vAlign w:val="center"/>
          </w:tcPr>
          <w:p>
            <w:pPr>
              <w:widowControl/>
              <w:spacing w:line="276" w:lineRule="auto"/>
              <w:jc w:val="center"/>
              <w:rPr>
                <w:rFonts w:cs="宋体" w:asciiTheme="minorEastAsia" w:hAnsiTheme="minorEastAsia"/>
                <w:sz w:val="24"/>
                <w:szCs w:val="24"/>
              </w:rPr>
            </w:pPr>
            <w:r>
              <w:rPr>
                <w:rFonts w:hint="eastAsia" w:cs="宋体" w:asciiTheme="minorEastAsia" w:hAnsiTheme="minorEastAsia"/>
                <w:sz w:val="24"/>
                <w:szCs w:val="24"/>
              </w:rPr>
              <w:t>长期</w:t>
            </w:r>
          </w:p>
        </w:tc>
        <w:tc>
          <w:tcPr>
            <w:tcW w:w="1297" w:type="dxa"/>
            <w:shd w:val="clear" w:color="auto" w:fill="FFFFFF"/>
            <w:vAlign w:val="center"/>
          </w:tcPr>
          <w:p>
            <w:pPr>
              <w:widowControl/>
              <w:spacing w:line="276" w:lineRule="auto"/>
              <w:jc w:val="center"/>
              <w:rPr>
                <w:rFonts w:cs="宋体" w:asciiTheme="minorEastAsia" w:hAnsiTheme="minorEastAsia"/>
                <w:sz w:val="24"/>
                <w:szCs w:val="24"/>
              </w:rPr>
            </w:pPr>
            <w:r>
              <w:rPr>
                <w:rFonts w:hint="eastAsia" w:cs="宋体" w:asciiTheme="minorEastAsia" w:hAnsiTheme="minorEastAsia"/>
                <w:sz w:val="24"/>
                <w:szCs w:val="24"/>
              </w:rPr>
              <w:t>捐资</w:t>
            </w:r>
          </w:p>
        </w:tc>
        <w:tc>
          <w:tcPr>
            <w:tcW w:w="999" w:type="dxa"/>
            <w:shd w:val="clear" w:color="auto" w:fill="FFFFFF"/>
            <w:vAlign w:val="center"/>
          </w:tcPr>
          <w:p>
            <w:pPr>
              <w:widowControl/>
              <w:spacing w:line="276" w:lineRule="auto"/>
              <w:jc w:val="center"/>
              <w:rPr>
                <w:rFonts w:cs="宋体" w:asciiTheme="minorEastAsia" w:hAnsiTheme="minorEastAsia"/>
                <w:sz w:val="24"/>
                <w:szCs w:val="24"/>
              </w:rPr>
            </w:pPr>
            <w:r>
              <w:rPr>
                <w:rFonts w:hint="eastAsia" w:cs="宋体" w:asciiTheme="minorEastAsia" w:hAnsiTheme="minorEastAsia"/>
                <w:sz w:val="24"/>
                <w:szCs w:val="24"/>
              </w:rPr>
              <w:t>政府监督</w:t>
            </w:r>
          </w:p>
        </w:tc>
      </w:tr>
      <w:tr>
        <w:tblPrEx>
          <w:tblBorders>
            <w:top w:val="thinThickSmallGap" w:color="008080" w:sz="18" w:space="0"/>
            <w:left w:val="thinThickSmallGap" w:color="008080" w:sz="18" w:space="0"/>
            <w:bottom w:val="thickThinSmallGap" w:color="008080" w:sz="18" w:space="0"/>
            <w:right w:val="thickThinSmallGap" w:color="008080" w:sz="18" w:space="0"/>
            <w:insideH w:val="single" w:color="008080" w:sz="6" w:space="0"/>
            <w:insideV w:val="single" w:color="008080" w:sz="6" w:space="0"/>
          </w:tblBorders>
          <w:tblLayout w:type="fixed"/>
          <w:tblCellMar>
            <w:top w:w="0" w:type="dxa"/>
            <w:left w:w="108" w:type="dxa"/>
            <w:bottom w:w="0" w:type="dxa"/>
            <w:right w:w="108" w:type="dxa"/>
          </w:tblCellMar>
        </w:tblPrEx>
        <w:trPr>
          <w:trHeight w:val="20" w:hRule="atLeast"/>
        </w:trPr>
        <w:tc>
          <w:tcPr>
            <w:tcW w:w="602" w:type="dxa"/>
            <w:shd w:val="clear" w:color="auto" w:fill="FFFFFF"/>
            <w:vAlign w:val="center"/>
          </w:tcPr>
          <w:p>
            <w:pPr>
              <w:widowControl/>
              <w:spacing w:line="276" w:lineRule="auto"/>
              <w:jc w:val="center"/>
              <w:rPr>
                <w:rFonts w:cs="宋体" w:asciiTheme="minorEastAsia" w:hAnsiTheme="minorEastAsia"/>
                <w:sz w:val="24"/>
                <w:szCs w:val="24"/>
              </w:rPr>
            </w:pPr>
            <w:r>
              <w:rPr>
                <w:rFonts w:cs="宋体" w:asciiTheme="minorEastAsia" w:hAnsiTheme="minorEastAsia"/>
                <w:sz w:val="24"/>
                <w:szCs w:val="24"/>
              </w:rPr>
              <w:t>4</w:t>
            </w:r>
          </w:p>
        </w:tc>
        <w:tc>
          <w:tcPr>
            <w:tcW w:w="1927" w:type="dxa"/>
            <w:shd w:val="clear" w:color="auto" w:fill="FFFFFF"/>
            <w:vAlign w:val="center"/>
          </w:tcPr>
          <w:p>
            <w:pPr>
              <w:widowControl/>
              <w:spacing w:line="276" w:lineRule="auto"/>
              <w:rPr>
                <w:rFonts w:cs="宋体" w:asciiTheme="minorEastAsia" w:hAnsiTheme="minorEastAsia"/>
                <w:sz w:val="24"/>
                <w:szCs w:val="24"/>
              </w:rPr>
            </w:pPr>
            <w:r>
              <w:rPr>
                <w:rFonts w:hint="eastAsia" w:cs="宋体" w:asciiTheme="minorEastAsia" w:hAnsiTheme="minorEastAsia"/>
                <w:sz w:val="24"/>
                <w:szCs w:val="24"/>
              </w:rPr>
              <w:t>环境建设</w:t>
            </w:r>
          </w:p>
        </w:tc>
        <w:tc>
          <w:tcPr>
            <w:tcW w:w="2497" w:type="dxa"/>
            <w:shd w:val="clear" w:color="auto" w:fill="FFFFFF"/>
            <w:vAlign w:val="center"/>
          </w:tcPr>
          <w:p>
            <w:pPr>
              <w:widowControl/>
              <w:spacing w:line="276" w:lineRule="auto"/>
              <w:rPr>
                <w:rFonts w:cs="宋体" w:asciiTheme="minorEastAsia" w:hAnsiTheme="minorEastAsia"/>
                <w:sz w:val="24"/>
                <w:szCs w:val="24"/>
              </w:rPr>
            </w:pPr>
            <w:r>
              <w:rPr>
                <w:rFonts w:hint="eastAsia" w:cs="宋体" w:asciiTheme="minorEastAsia" w:hAnsiTheme="minorEastAsia"/>
                <w:sz w:val="24"/>
                <w:szCs w:val="24"/>
              </w:rPr>
              <w:t>新农村建设</w:t>
            </w:r>
            <w:r>
              <w:rPr>
                <w:rFonts w:cs="宋体" w:asciiTheme="minorEastAsia" w:hAnsiTheme="minorEastAsia"/>
                <w:sz w:val="24"/>
                <w:szCs w:val="24"/>
              </w:rPr>
              <w:t>,</w:t>
            </w:r>
            <w:r>
              <w:rPr>
                <w:rFonts w:hint="eastAsia" w:cs="宋体" w:asciiTheme="minorEastAsia" w:hAnsiTheme="minorEastAsia"/>
                <w:sz w:val="24"/>
                <w:szCs w:val="24"/>
              </w:rPr>
              <w:t>致力于环境改善</w:t>
            </w:r>
          </w:p>
        </w:tc>
        <w:tc>
          <w:tcPr>
            <w:tcW w:w="1036" w:type="dxa"/>
            <w:shd w:val="clear" w:color="auto" w:fill="FFFFFF"/>
            <w:vAlign w:val="center"/>
          </w:tcPr>
          <w:p>
            <w:pPr>
              <w:widowControl/>
              <w:spacing w:line="276" w:lineRule="auto"/>
              <w:jc w:val="center"/>
              <w:rPr>
                <w:rFonts w:cs="宋体" w:asciiTheme="minorEastAsia" w:hAnsiTheme="minorEastAsia"/>
                <w:sz w:val="24"/>
                <w:szCs w:val="24"/>
              </w:rPr>
            </w:pPr>
            <w:r>
              <w:rPr>
                <w:rFonts w:hint="eastAsia" w:cs="宋体" w:asciiTheme="minorEastAsia" w:hAnsiTheme="minorEastAsia"/>
                <w:sz w:val="24"/>
                <w:szCs w:val="24"/>
              </w:rPr>
              <w:t>长期</w:t>
            </w:r>
          </w:p>
        </w:tc>
        <w:tc>
          <w:tcPr>
            <w:tcW w:w="1297" w:type="dxa"/>
            <w:shd w:val="clear" w:color="auto" w:fill="FFFFFF"/>
            <w:vAlign w:val="center"/>
          </w:tcPr>
          <w:p>
            <w:pPr>
              <w:widowControl/>
              <w:spacing w:line="276" w:lineRule="auto"/>
              <w:jc w:val="center"/>
              <w:rPr>
                <w:rFonts w:cs="宋体" w:asciiTheme="minorEastAsia" w:hAnsiTheme="minorEastAsia"/>
                <w:sz w:val="24"/>
                <w:szCs w:val="24"/>
              </w:rPr>
            </w:pPr>
            <w:r>
              <w:rPr>
                <w:rFonts w:hint="eastAsia" w:cs="宋体" w:asciiTheme="minorEastAsia" w:hAnsiTheme="minorEastAsia"/>
                <w:sz w:val="24"/>
                <w:szCs w:val="24"/>
              </w:rPr>
              <w:t>捐资</w:t>
            </w:r>
          </w:p>
        </w:tc>
        <w:tc>
          <w:tcPr>
            <w:tcW w:w="999" w:type="dxa"/>
            <w:shd w:val="clear" w:color="auto" w:fill="FFFFFF"/>
            <w:vAlign w:val="center"/>
          </w:tcPr>
          <w:p>
            <w:pPr>
              <w:widowControl/>
              <w:spacing w:line="276" w:lineRule="auto"/>
              <w:jc w:val="center"/>
              <w:rPr>
                <w:rFonts w:cs="宋体" w:asciiTheme="minorEastAsia" w:hAnsiTheme="minorEastAsia"/>
                <w:sz w:val="24"/>
                <w:szCs w:val="24"/>
              </w:rPr>
            </w:pPr>
            <w:r>
              <w:rPr>
                <w:rFonts w:hint="eastAsia" w:cs="宋体" w:asciiTheme="minorEastAsia" w:hAnsiTheme="minorEastAsia"/>
                <w:sz w:val="24"/>
                <w:szCs w:val="24"/>
              </w:rPr>
              <w:t>政府监督</w:t>
            </w:r>
          </w:p>
        </w:tc>
      </w:tr>
      <w:tr>
        <w:tblPrEx>
          <w:tblBorders>
            <w:top w:val="thinThickSmallGap" w:color="008080" w:sz="18" w:space="0"/>
            <w:left w:val="thinThickSmallGap" w:color="008080" w:sz="18" w:space="0"/>
            <w:bottom w:val="thickThinSmallGap" w:color="008080" w:sz="18" w:space="0"/>
            <w:right w:val="thickThinSmallGap" w:color="008080" w:sz="18" w:space="0"/>
            <w:insideH w:val="single" w:color="008080" w:sz="6" w:space="0"/>
            <w:insideV w:val="single" w:color="008080" w:sz="6" w:space="0"/>
          </w:tblBorders>
          <w:tblLayout w:type="fixed"/>
          <w:tblCellMar>
            <w:top w:w="0" w:type="dxa"/>
            <w:left w:w="108" w:type="dxa"/>
            <w:bottom w:w="0" w:type="dxa"/>
            <w:right w:w="108" w:type="dxa"/>
          </w:tblCellMar>
        </w:tblPrEx>
        <w:trPr>
          <w:trHeight w:val="20" w:hRule="atLeast"/>
        </w:trPr>
        <w:tc>
          <w:tcPr>
            <w:tcW w:w="602" w:type="dxa"/>
            <w:shd w:val="clear" w:color="auto" w:fill="FFFFFF"/>
            <w:vAlign w:val="center"/>
          </w:tcPr>
          <w:p>
            <w:pPr>
              <w:widowControl/>
              <w:spacing w:line="276" w:lineRule="auto"/>
              <w:jc w:val="center"/>
              <w:rPr>
                <w:rFonts w:cs="宋体" w:asciiTheme="minorEastAsia" w:hAnsiTheme="minorEastAsia"/>
                <w:sz w:val="24"/>
                <w:szCs w:val="24"/>
              </w:rPr>
            </w:pPr>
            <w:r>
              <w:rPr>
                <w:rFonts w:cs="宋体" w:asciiTheme="minorEastAsia" w:hAnsiTheme="minorEastAsia"/>
                <w:sz w:val="24"/>
                <w:szCs w:val="24"/>
              </w:rPr>
              <w:t>5</w:t>
            </w:r>
          </w:p>
        </w:tc>
        <w:tc>
          <w:tcPr>
            <w:tcW w:w="1927" w:type="dxa"/>
            <w:shd w:val="clear" w:color="auto" w:fill="FFFFFF"/>
            <w:vAlign w:val="center"/>
          </w:tcPr>
          <w:p>
            <w:pPr>
              <w:widowControl/>
              <w:spacing w:line="276" w:lineRule="auto"/>
              <w:rPr>
                <w:rFonts w:cs="宋体" w:asciiTheme="minorEastAsia" w:hAnsiTheme="minorEastAsia"/>
                <w:sz w:val="24"/>
                <w:szCs w:val="24"/>
              </w:rPr>
            </w:pPr>
            <w:r>
              <w:rPr>
                <w:rFonts w:hint="eastAsia" w:cs="宋体" w:asciiTheme="minorEastAsia" w:hAnsiTheme="minorEastAsia"/>
                <w:sz w:val="24"/>
                <w:szCs w:val="24"/>
              </w:rPr>
              <w:t>慈善事业</w:t>
            </w:r>
          </w:p>
        </w:tc>
        <w:tc>
          <w:tcPr>
            <w:tcW w:w="2497" w:type="dxa"/>
            <w:shd w:val="clear" w:color="auto" w:fill="FFFFFF"/>
            <w:vAlign w:val="center"/>
          </w:tcPr>
          <w:p>
            <w:pPr>
              <w:widowControl/>
              <w:spacing w:line="276" w:lineRule="auto"/>
              <w:rPr>
                <w:rFonts w:cs="宋体" w:asciiTheme="minorEastAsia" w:hAnsiTheme="minorEastAsia"/>
                <w:sz w:val="24"/>
                <w:szCs w:val="24"/>
              </w:rPr>
            </w:pPr>
            <w:r>
              <w:rPr>
                <w:rFonts w:hint="eastAsia" w:cs="宋体" w:asciiTheme="minorEastAsia" w:hAnsiTheme="minorEastAsia"/>
                <w:sz w:val="24"/>
                <w:szCs w:val="24"/>
              </w:rPr>
              <w:t>慈善事业捐助</w:t>
            </w:r>
          </w:p>
        </w:tc>
        <w:tc>
          <w:tcPr>
            <w:tcW w:w="1036" w:type="dxa"/>
            <w:shd w:val="clear" w:color="auto" w:fill="FFFFFF"/>
            <w:vAlign w:val="center"/>
          </w:tcPr>
          <w:p>
            <w:pPr>
              <w:widowControl/>
              <w:spacing w:line="276" w:lineRule="auto"/>
              <w:jc w:val="center"/>
              <w:rPr>
                <w:rFonts w:cs="宋体" w:asciiTheme="minorEastAsia" w:hAnsiTheme="minorEastAsia"/>
                <w:sz w:val="24"/>
                <w:szCs w:val="24"/>
              </w:rPr>
            </w:pPr>
            <w:r>
              <w:rPr>
                <w:rFonts w:hint="eastAsia" w:cs="宋体" w:asciiTheme="minorEastAsia" w:hAnsiTheme="minorEastAsia"/>
                <w:sz w:val="24"/>
                <w:szCs w:val="24"/>
              </w:rPr>
              <w:t>长期</w:t>
            </w:r>
          </w:p>
        </w:tc>
        <w:tc>
          <w:tcPr>
            <w:tcW w:w="1297" w:type="dxa"/>
            <w:shd w:val="clear" w:color="auto" w:fill="FFFFFF"/>
            <w:vAlign w:val="center"/>
          </w:tcPr>
          <w:p>
            <w:pPr>
              <w:widowControl/>
              <w:spacing w:line="276" w:lineRule="auto"/>
              <w:jc w:val="center"/>
              <w:rPr>
                <w:rFonts w:cs="宋体" w:asciiTheme="minorEastAsia" w:hAnsiTheme="minorEastAsia"/>
                <w:sz w:val="24"/>
                <w:szCs w:val="24"/>
              </w:rPr>
            </w:pPr>
            <w:r>
              <w:rPr>
                <w:rFonts w:hint="eastAsia" w:cs="宋体" w:asciiTheme="minorEastAsia" w:hAnsiTheme="minorEastAsia"/>
                <w:sz w:val="24"/>
                <w:szCs w:val="24"/>
              </w:rPr>
              <w:t>捐资</w:t>
            </w:r>
          </w:p>
        </w:tc>
        <w:tc>
          <w:tcPr>
            <w:tcW w:w="999" w:type="dxa"/>
            <w:shd w:val="clear" w:color="auto" w:fill="FFFFFF"/>
            <w:vAlign w:val="center"/>
          </w:tcPr>
          <w:p>
            <w:pPr>
              <w:widowControl/>
              <w:spacing w:line="276" w:lineRule="auto"/>
              <w:jc w:val="center"/>
              <w:rPr>
                <w:rFonts w:cs="宋体" w:asciiTheme="minorEastAsia" w:hAnsiTheme="minorEastAsia"/>
                <w:sz w:val="24"/>
                <w:szCs w:val="24"/>
              </w:rPr>
            </w:pPr>
            <w:r>
              <w:rPr>
                <w:rFonts w:hint="eastAsia" w:cs="宋体" w:asciiTheme="minorEastAsia" w:hAnsiTheme="minorEastAsia"/>
                <w:sz w:val="24"/>
                <w:szCs w:val="24"/>
              </w:rPr>
              <w:t>慈善机构</w:t>
            </w:r>
          </w:p>
        </w:tc>
      </w:tr>
    </w:tbl>
    <w:p>
      <w:pPr>
        <w:tabs>
          <w:tab w:val="left" w:pos="2982"/>
        </w:tabs>
        <w:spacing w:before="240" w:line="360" w:lineRule="auto"/>
        <w:jc w:val="left"/>
        <w:rPr>
          <w:rFonts w:asciiTheme="minorEastAsia" w:hAnsiTheme="minorEastAsia"/>
          <w:b/>
          <w:sz w:val="24"/>
          <w:szCs w:val="24"/>
        </w:rPr>
      </w:pPr>
      <w:r>
        <w:rPr>
          <w:rFonts w:hint="eastAsia" w:asciiTheme="minorEastAsia" w:hAnsiTheme="minorEastAsia"/>
          <w:b/>
          <w:sz w:val="24"/>
          <w:szCs w:val="24"/>
        </w:rPr>
        <w:t>3.2</w:t>
      </w:r>
      <w:r>
        <w:rPr>
          <w:rFonts w:asciiTheme="minorEastAsia" w:hAnsiTheme="minorEastAsia"/>
          <w:b/>
          <w:sz w:val="24"/>
          <w:szCs w:val="24"/>
        </w:rPr>
        <w:t>.</w:t>
      </w:r>
      <w:r>
        <w:rPr>
          <w:rFonts w:hint="eastAsia" w:asciiTheme="minorEastAsia" w:hAnsiTheme="minorEastAsia"/>
          <w:b/>
          <w:sz w:val="24"/>
          <w:szCs w:val="24"/>
        </w:rPr>
        <w:t>公司领导身体力行，员工积极参与</w:t>
      </w:r>
    </w:p>
    <w:p>
      <w:pPr>
        <w:spacing w:line="360" w:lineRule="auto"/>
        <w:ind w:firstLine="480" w:firstLineChars="200"/>
        <w:rPr>
          <w:rFonts w:hint="eastAsia" w:asciiTheme="minorEastAsia" w:hAnsiTheme="minorEastAsia"/>
          <w:sz w:val="24"/>
          <w:szCs w:val="24"/>
        </w:rPr>
      </w:pPr>
      <w:r>
        <w:rPr>
          <w:rFonts w:hint="eastAsia" w:asciiTheme="minorEastAsia" w:hAnsiTheme="minorEastAsia"/>
          <w:sz w:val="24"/>
          <w:szCs w:val="24"/>
        </w:rPr>
        <w:t>致富思源，回报社会。公司高层领导重视社会责任，以身作则，关注困难员工，成立“职工医疗互助基金”，开展暖心工程，带头捐款捐物，员工也踊跃参与，以实际行动回报国家和社会。我公司为解决职工医疗互助保障问题，现结合本公司实际情况，多年来，台谊积极参与支持社会公益和慈善事业，无论是赈灾救助，教育、文化艺术捐赠，还是为当地经济建设捐资，为弱势群体提供帮助，乃至大型慈善公益活动，台谊都以实际行动体现出较强的社会责任感，得到了社会各界的充分肯定，树立了良好的公众形象。</w:t>
      </w:r>
    </w:p>
    <w:p>
      <w:pPr>
        <w:widowControl w:val="0"/>
        <w:numPr>
          <w:ilvl w:val="0"/>
          <w:numId w:val="0"/>
        </w:numPr>
        <w:tabs>
          <w:tab w:val="left" w:pos="2982"/>
        </w:tabs>
        <w:spacing w:before="240" w:line="360" w:lineRule="auto"/>
        <w:jc w:val="left"/>
        <w:rPr>
          <w:rFonts w:hint="default" w:asciiTheme="minorEastAsia" w:hAnsiTheme="minorEastAsia"/>
          <w:b/>
          <w:sz w:val="24"/>
          <w:szCs w:val="24"/>
          <w:lang w:val="en-US" w:eastAsia="zh-CN"/>
        </w:rPr>
      </w:pPr>
      <w:r>
        <w:rPr>
          <w:rFonts w:hint="eastAsia" w:asciiTheme="minorEastAsia" w:hAnsiTheme="minorEastAsia"/>
          <w:b/>
          <w:sz w:val="24"/>
          <w:szCs w:val="24"/>
          <w:lang w:val="en-US" w:eastAsia="zh-CN"/>
        </w:rPr>
        <w:t>1、防疫志愿队</w:t>
      </w:r>
    </w:p>
    <w:p>
      <w:pPr>
        <w:widowControl w:val="0"/>
        <w:numPr>
          <w:ilvl w:val="0"/>
          <w:numId w:val="0"/>
        </w:numPr>
        <w:tabs>
          <w:tab w:val="left" w:pos="2982"/>
        </w:tabs>
        <w:spacing w:before="240" w:line="360" w:lineRule="auto"/>
        <w:jc w:val="left"/>
        <w:rPr>
          <w:rFonts w:hint="default" w:asciiTheme="minorEastAsia" w:hAnsiTheme="minorEastAsia"/>
          <w:b/>
          <w:sz w:val="24"/>
          <w:szCs w:val="24"/>
          <w:lang w:val="en-US" w:eastAsia="zh-CN"/>
        </w:rPr>
      </w:pPr>
      <w:r>
        <w:rPr>
          <w:rFonts w:hint="default" w:asciiTheme="minorEastAsia" w:hAnsiTheme="minorEastAsia"/>
          <w:b/>
          <w:sz w:val="24"/>
          <w:szCs w:val="24"/>
          <w:lang w:val="en-US" w:eastAsia="zh-CN"/>
        </w:rPr>
        <w:drawing>
          <wp:anchor distT="0" distB="0" distL="114300" distR="114300" simplePos="0" relativeHeight="251666432" behindDoc="1" locked="0" layoutInCell="1" allowOverlap="1">
            <wp:simplePos x="0" y="0"/>
            <wp:positionH relativeFrom="column">
              <wp:posOffset>2847975</wp:posOffset>
            </wp:positionH>
            <wp:positionV relativeFrom="paragraph">
              <wp:posOffset>95250</wp:posOffset>
            </wp:positionV>
            <wp:extent cx="2505710" cy="1879600"/>
            <wp:effectExtent l="0" t="0" r="8890" b="6350"/>
            <wp:wrapTight wrapText="bothSides">
              <wp:wrapPolygon>
                <wp:start x="0" y="0"/>
                <wp:lineTo x="0" y="21454"/>
                <wp:lineTo x="21512" y="21454"/>
                <wp:lineTo x="21512" y="0"/>
                <wp:lineTo x="0" y="0"/>
              </wp:wrapPolygon>
            </wp:wrapTight>
            <wp:docPr id="18" name="图片 18" descr="60708c56f1a92f8834cb064704f24c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60708c56f1a92f8834cb064704f24c4"/>
                    <pic:cNvPicPr>
                      <a:picLocks noChangeAspect="1"/>
                    </pic:cNvPicPr>
                  </pic:nvPicPr>
                  <pic:blipFill>
                    <a:blip r:embed="rId7"/>
                    <a:stretch>
                      <a:fillRect/>
                    </a:stretch>
                  </pic:blipFill>
                  <pic:spPr>
                    <a:xfrm>
                      <a:off x="0" y="0"/>
                      <a:ext cx="2505710" cy="1879600"/>
                    </a:xfrm>
                    <a:prstGeom prst="rect">
                      <a:avLst/>
                    </a:prstGeom>
                  </pic:spPr>
                </pic:pic>
              </a:graphicData>
            </a:graphic>
          </wp:anchor>
        </w:drawing>
      </w:r>
      <w:r>
        <w:rPr>
          <w:rFonts w:hint="default" w:asciiTheme="minorEastAsia" w:hAnsiTheme="minorEastAsia"/>
          <w:b/>
          <w:sz w:val="24"/>
          <w:szCs w:val="24"/>
          <w:lang w:val="en-US" w:eastAsia="zh-CN"/>
        </w:rPr>
        <w:drawing>
          <wp:anchor distT="0" distB="0" distL="114300" distR="114300" simplePos="0" relativeHeight="251665408" behindDoc="1" locked="0" layoutInCell="1" allowOverlap="1">
            <wp:simplePos x="0" y="0"/>
            <wp:positionH relativeFrom="column">
              <wp:posOffset>9525</wp:posOffset>
            </wp:positionH>
            <wp:positionV relativeFrom="paragraph">
              <wp:posOffset>88265</wp:posOffset>
            </wp:positionV>
            <wp:extent cx="2512695" cy="1884680"/>
            <wp:effectExtent l="0" t="0" r="1905" b="1270"/>
            <wp:wrapTight wrapText="bothSides">
              <wp:wrapPolygon>
                <wp:start x="0" y="0"/>
                <wp:lineTo x="0" y="21396"/>
                <wp:lineTo x="21453" y="21396"/>
                <wp:lineTo x="21453" y="0"/>
                <wp:lineTo x="0" y="0"/>
              </wp:wrapPolygon>
            </wp:wrapTight>
            <wp:docPr id="16" name="图片 16" descr="lQDPJxbU6Tnb3WvNC9DND8Cwk2KCmEAxvvYDXeZTykD0AA_4032_3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lQDPJxbU6Tnb3WvNC9DND8Cwk2KCmEAxvvYDXeZTykD0AA_4032_3024"/>
                    <pic:cNvPicPr>
                      <a:picLocks noChangeAspect="1"/>
                    </pic:cNvPicPr>
                  </pic:nvPicPr>
                  <pic:blipFill>
                    <a:blip r:embed="rId8"/>
                    <a:stretch>
                      <a:fillRect/>
                    </a:stretch>
                  </pic:blipFill>
                  <pic:spPr>
                    <a:xfrm>
                      <a:off x="0" y="0"/>
                      <a:ext cx="2512695" cy="1884680"/>
                    </a:xfrm>
                    <a:prstGeom prst="rect">
                      <a:avLst/>
                    </a:prstGeom>
                  </pic:spPr>
                </pic:pic>
              </a:graphicData>
            </a:graphic>
          </wp:anchor>
        </w:drawing>
      </w:r>
    </w:p>
    <w:p>
      <w:pPr>
        <w:widowControl w:val="0"/>
        <w:numPr>
          <w:ilvl w:val="0"/>
          <w:numId w:val="0"/>
        </w:numPr>
        <w:tabs>
          <w:tab w:val="left" w:pos="2982"/>
        </w:tabs>
        <w:spacing w:before="240" w:line="360" w:lineRule="auto"/>
        <w:jc w:val="left"/>
        <w:rPr>
          <w:rFonts w:hint="default" w:asciiTheme="minorEastAsia" w:hAnsiTheme="minorEastAsia"/>
          <w:b/>
          <w:sz w:val="24"/>
          <w:szCs w:val="24"/>
          <w:lang w:val="en-US" w:eastAsia="zh-CN"/>
        </w:rPr>
      </w:pPr>
    </w:p>
    <w:p>
      <w:pPr>
        <w:widowControl w:val="0"/>
        <w:numPr>
          <w:ilvl w:val="0"/>
          <w:numId w:val="0"/>
        </w:numPr>
        <w:tabs>
          <w:tab w:val="left" w:pos="2982"/>
        </w:tabs>
        <w:spacing w:before="240" w:line="360" w:lineRule="auto"/>
        <w:jc w:val="left"/>
        <w:rPr>
          <w:rFonts w:hint="default" w:asciiTheme="minorEastAsia" w:hAnsiTheme="minorEastAsia"/>
          <w:b/>
          <w:sz w:val="24"/>
          <w:szCs w:val="24"/>
          <w:lang w:val="en-US" w:eastAsia="zh-CN"/>
        </w:rPr>
      </w:pPr>
    </w:p>
    <w:p>
      <w:pPr>
        <w:widowControl w:val="0"/>
        <w:numPr>
          <w:ilvl w:val="0"/>
          <w:numId w:val="0"/>
        </w:numPr>
        <w:tabs>
          <w:tab w:val="left" w:pos="2982"/>
        </w:tabs>
        <w:spacing w:before="240" w:line="360" w:lineRule="auto"/>
        <w:ind w:leftChars="0"/>
        <w:jc w:val="left"/>
        <w:rPr>
          <w:rFonts w:hint="eastAsia" w:asciiTheme="minorEastAsia" w:hAnsiTheme="minorEastAsia"/>
          <w:b/>
          <w:sz w:val="24"/>
          <w:szCs w:val="24"/>
          <w:lang w:val="en-US" w:eastAsia="zh-CN"/>
        </w:rPr>
      </w:pPr>
    </w:p>
    <w:p>
      <w:pPr>
        <w:widowControl w:val="0"/>
        <w:numPr>
          <w:ilvl w:val="0"/>
          <w:numId w:val="0"/>
        </w:numPr>
        <w:tabs>
          <w:tab w:val="left" w:pos="2982"/>
        </w:tabs>
        <w:spacing w:before="240" w:line="360" w:lineRule="auto"/>
        <w:ind w:leftChars="0"/>
        <w:jc w:val="left"/>
        <w:rPr>
          <w:rFonts w:hint="eastAsia" w:asciiTheme="minorEastAsia" w:hAnsiTheme="minorEastAsia"/>
          <w:b/>
          <w:sz w:val="24"/>
          <w:szCs w:val="24"/>
          <w:lang w:val="en-US" w:eastAsia="zh-CN"/>
        </w:rPr>
      </w:pPr>
      <w:r>
        <w:rPr>
          <w:rFonts w:hint="eastAsia" w:asciiTheme="minorEastAsia" w:hAnsiTheme="minorEastAsia"/>
          <w:b/>
          <w:sz w:val="24"/>
          <w:szCs w:val="24"/>
          <w:lang w:val="en-US" w:eastAsia="zh-CN"/>
        </w:rPr>
        <w:t>2、退役军人线上招聘、公益招聘会</w:t>
      </w:r>
    </w:p>
    <w:p>
      <w:pPr>
        <w:widowControl w:val="0"/>
        <w:numPr>
          <w:ilvl w:val="0"/>
          <w:numId w:val="0"/>
        </w:numPr>
        <w:tabs>
          <w:tab w:val="left" w:pos="2982"/>
        </w:tabs>
        <w:spacing w:before="240" w:line="360" w:lineRule="auto"/>
        <w:jc w:val="left"/>
        <w:rPr>
          <w:rFonts w:hint="default" w:asciiTheme="minorEastAsia" w:hAnsiTheme="minorEastAsia"/>
          <w:b/>
          <w:sz w:val="24"/>
          <w:szCs w:val="24"/>
          <w:lang w:val="en-US" w:eastAsia="zh-CN"/>
        </w:rPr>
      </w:pPr>
      <w:r>
        <w:rPr>
          <w:rFonts w:hint="default" w:asciiTheme="minorEastAsia" w:hAnsiTheme="minorEastAsia"/>
          <w:b/>
          <w:sz w:val="24"/>
          <w:szCs w:val="24"/>
          <w:lang w:val="en-US" w:eastAsia="zh-CN"/>
        </w:rPr>
        <w:drawing>
          <wp:anchor distT="0" distB="0" distL="114300" distR="114300" simplePos="0" relativeHeight="251663360" behindDoc="1" locked="0" layoutInCell="1" allowOverlap="1">
            <wp:simplePos x="0" y="0"/>
            <wp:positionH relativeFrom="column">
              <wp:posOffset>1409700</wp:posOffset>
            </wp:positionH>
            <wp:positionV relativeFrom="paragraph">
              <wp:posOffset>88900</wp:posOffset>
            </wp:positionV>
            <wp:extent cx="1210310" cy="2624455"/>
            <wp:effectExtent l="0" t="0" r="8890" b="4445"/>
            <wp:wrapTight wrapText="bothSides">
              <wp:wrapPolygon>
                <wp:start x="0" y="0"/>
                <wp:lineTo x="0" y="21480"/>
                <wp:lineTo x="21419" y="21480"/>
                <wp:lineTo x="21419" y="0"/>
                <wp:lineTo x="0" y="0"/>
              </wp:wrapPolygon>
            </wp:wrapTight>
            <wp:docPr id="11" name="图片 11" descr="f8cd9ce8a15cccb2e2250e72c6ada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f8cd9ce8a15cccb2e2250e72c6ada15"/>
                    <pic:cNvPicPr>
                      <a:picLocks noChangeAspect="1"/>
                    </pic:cNvPicPr>
                  </pic:nvPicPr>
                  <pic:blipFill>
                    <a:blip r:embed="rId9"/>
                    <a:stretch>
                      <a:fillRect/>
                    </a:stretch>
                  </pic:blipFill>
                  <pic:spPr>
                    <a:xfrm>
                      <a:off x="0" y="0"/>
                      <a:ext cx="1210310" cy="2624455"/>
                    </a:xfrm>
                    <a:prstGeom prst="rect">
                      <a:avLst/>
                    </a:prstGeom>
                  </pic:spPr>
                </pic:pic>
              </a:graphicData>
            </a:graphic>
          </wp:anchor>
        </w:drawing>
      </w:r>
      <w:r>
        <w:rPr>
          <w:rFonts w:hint="default" w:asciiTheme="minorEastAsia" w:hAnsiTheme="minorEastAsia"/>
          <w:b/>
          <w:sz w:val="24"/>
          <w:szCs w:val="24"/>
          <w:lang w:val="en-US" w:eastAsia="zh-CN"/>
        </w:rPr>
        <w:drawing>
          <wp:anchor distT="0" distB="0" distL="114300" distR="114300" simplePos="0" relativeHeight="251662336" behindDoc="1" locked="0" layoutInCell="1" allowOverlap="1">
            <wp:simplePos x="0" y="0"/>
            <wp:positionH relativeFrom="column">
              <wp:posOffset>0</wp:posOffset>
            </wp:positionH>
            <wp:positionV relativeFrom="paragraph">
              <wp:posOffset>106045</wp:posOffset>
            </wp:positionV>
            <wp:extent cx="1198245" cy="2596515"/>
            <wp:effectExtent l="0" t="0" r="1905" b="13335"/>
            <wp:wrapTight wrapText="bothSides">
              <wp:wrapPolygon>
                <wp:start x="0" y="0"/>
                <wp:lineTo x="0" y="21394"/>
                <wp:lineTo x="21291" y="21394"/>
                <wp:lineTo x="21291" y="0"/>
                <wp:lineTo x="0" y="0"/>
              </wp:wrapPolygon>
            </wp:wrapTight>
            <wp:docPr id="10" name="图片 10" descr="fd2a2092578f74aa6b10ebabed46b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fd2a2092578f74aa6b10ebabed46b26"/>
                    <pic:cNvPicPr>
                      <a:picLocks noChangeAspect="1"/>
                    </pic:cNvPicPr>
                  </pic:nvPicPr>
                  <pic:blipFill>
                    <a:blip r:embed="rId10"/>
                    <a:stretch>
                      <a:fillRect/>
                    </a:stretch>
                  </pic:blipFill>
                  <pic:spPr>
                    <a:xfrm>
                      <a:off x="0" y="0"/>
                      <a:ext cx="1198245" cy="2596515"/>
                    </a:xfrm>
                    <a:prstGeom prst="rect">
                      <a:avLst/>
                    </a:prstGeom>
                  </pic:spPr>
                </pic:pic>
              </a:graphicData>
            </a:graphic>
          </wp:anchor>
        </w:drawing>
      </w:r>
    </w:p>
    <w:p>
      <w:pPr>
        <w:widowControl w:val="0"/>
        <w:numPr>
          <w:ilvl w:val="0"/>
          <w:numId w:val="0"/>
        </w:numPr>
        <w:tabs>
          <w:tab w:val="left" w:pos="2982"/>
        </w:tabs>
        <w:spacing w:before="240" w:line="360" w:lineRule="auto"/>
        <w:jc w:val="left"/>
        <w:rPr>
          <w:rFonts w:hint="default" w:asciiTheme="minorEastAsia" w:hAnsiTheme="minorEastAsia"/>
          <w:b/>
          <w:sz w:val="24"/>
          <w:szCs w:val="24"/>
          <w:lang w:val="en-US" w:eastAsia="zh-CN"/>
        </w:rPr>
      </w:pPr>
      <w:r>
        <w:rPr>
          <w:rFonts w:hint="default" w:asciiTheme="minorEastAsia" w:hAnsiTheme="minorEastAsia"/>
          <w:b/>
          <w:sz w:val="24"/>
          <w:szCs w:val="24"/>
          <w:lang w:val="en-US" w:eastAsia="zh-CN"/>
        </w:rPr>
        <w:drawing>
          <wp:anchor distT="0" distB="0" distL="114300" distR="114300" simplePos="0" relativeHeight="251664384" behindDoc="0" locked="0" layoutInCell="1" allowOverlap="1">
            <wp:simplePos x="0" y="0"/>
            <wp:positionH relativeFrom="column">
              <wp:posOffset>133350</wp:posOffset>
            </wp:positionH>
            <wp:positionV relativeFrom="paragraph">
              <wp:posOffset>133350</wp:posOffset>
            </wp:positionV>
            <wp:extent cx="3105785" cy="1747520"/>
            <wp:effectExtent l="0" t="0" r="18415" b="5080"/>
            <wp:wrapNone/>
            <wp:docPr id="14" name="图片 14" descr="lADPJxRxSBvA9ETNCNzND8A_4032_2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lADPJxRxSBvA9ETNCNzND8A_4032_2268"/>
                    <pic:cNvPicPr>
                      <a:picLocks noChangeAspect="1"/>
                    </pic:cNvPicPr>
                  </pic:nvPicPr>
                  <pic:blipFill>
                    <a:blip r:embed="rId11"/>
                    <a:stretch>
                      <a:fillRect/>
                    </a:stretch>
                  </pic:blipFill>
                  <pic:spPr>
                    <a:xfrm>
                      <a:off x="0" y="0"/>
                      <a:ext cx="3105785" cy="1747520"/>
                    </a:xfrm>
                    <a:prstGeom prst="rect">
                      <a:avLst/>
                    </a:prstGeom>
                  </pic:spPr>
                </pic:pic>
              </a:graphicData>
            </a:graphic>
          </wp:anchor>
        </w:drawing>
      </w:r>
    </w:p>
    <w:p>
      <w:pPr>
        <w:widowControl w:val="0"/>
        <w:numPr>
          <w:ilvl w:val="0"/>
          <w:numId w:val="0"/>
        </w:numPr>
        <w:tabs>
          <w:tab w:val="left" w:pos="2982"/>
        </w:tabs>
        <w:spacing w:before="240" w:line="360" w:lineRule="auto"/>
        <w:jc w:val="left"/>
        <w:rPr>
          <w:rFonts w:hint="default" w:asciiTheme="minorEastAsia" w:hAnsiTheme="minorEastAsia"/>
          <w:b/>
          <w:sz w:val="24"/>
          <w:szCs w:val="24"/>
          <w:lang w:val="en-US" w:eastAsia="zh-CN"/>
        </w:rPr>
      </w:pPr>
    </w:p>
    <w:p>
      <w:pPr>
        <w:widowControl w:val="0"/>
        <w:numPr>
          <w:ilvl w:val="0"/>
          <w:numId w:val="0"/>
        </w:numPr>
        <w:tabs>
          <w:tab w:val="left" w:pos="2982"/>
        </w:tabs>
        <w:spacing w:before="240" w:line="360" w:lineRule="auto"/>
        <w:jc w:val="left"/>
        <w:rPr>
          <w:rFonts w:hint="default" w:asciiTheme="minorEastAsia" w:hAnsiTheme="minorEastAsia"/>
          <w:b/>
          <w:sz w:val="24"/>
          <w:szCs w:val="24"/>
          <w:lang w:val="en-US" w:eastAsia="zh-CN"/>
        </w:rPr>
      </w:pPr>
    </w:p>
    <w:p>
      <w:pPr>
        <w:widowControl w:val="0"/>
        <w:numPr>
          <w:ilvl w:val="0"/>
          <w:numId w:val="0"/>
        </w:numPr>
        <w:tabs>
          <w:tab w:val="left" w:pos="2982"/>
        </w:tabs>
        <w:spacing w:before="240" w:line="360" w:lineRule="auto"/>
        <w:ind w:leftChars="0"/>
        <w:jc w:val="left"/>
        <w:rPr>
          <w:rFonts w:hint="eastAsia" w:asciiTheme="minorEastAsia" w:hAnsiTheme="minorEastAsia"/>
          <w:b/>
          <w:sz w:val="24"/>
          <w:szCs w:val="24"/>
          <w:lang w:val="en-US" w:eastAsia="zh-CN"/>
        </w:rPr>
      </w:pPr>
      <w:r>
        <w:rPr>
          <w:rFonts w:hint="eastAsia" w:asciiTheme="minorEastAsia" w:hAnsiTheme="minorEastAsia"/>
          <w:b/>
          <w:sz w:val="24"/>
          <w:szCs w:val="24"/>
          <w:lang w:val="en-US" w:eastAsia="zh-CN"/>
        </w:rPr>
        <w:t>3、社会献血</w:t>
      </w:r>
    </w:p>
    <w:p>
      <w:pPr>
        <w:widowControl w:val="0"/>
        <w:numPr>
          <w:ilvl w:val="0"/>
          <w:numId w:val="0"/>
        </w:numPr>
        <w:tabs>
          <w:tab w:val="left" w:pos="2982"/>
        </w:tabs>
        <w:spacing w:before="240" w:line="360" w:lineRule="auto"/>
        <w:ind w:leftChars="0"/>
        <w:jc w:val="left"/>
        <w:rPr>
          <w:rFonts w:hint="default" w:asciiTheme="minorEastAsia" w:hAnsiTheme="minorEastAsia"/>
          <w:b/>
          <w:sz w:val="24"/>
          <w:szCs w:val="24"/>
          <w:lang w:val="en-US" w:eastAsia="zh-CN"/>
        </w:rPr>
      </w:pPr>
      <w:r>
        <w:rPr>
          <w:rFonts w:hint="default" w:asciiTheme="minorEastAsia" w:hAnsiTheme="minorEastAsia"/>
          <w:b/>
          <w:sz w:val="24"/>
          <w:szCs w:val="24"/>
          <w:lang w:val="en-US" w:eastAsia="zh-CN"/>
        </w:rPr>
        <w:drawing>
          <wp:inline distT="0" distB="0" distL="114300" distR="114300">
            <wp:extent cx="5212080" cy="3474720"/>
            <wp:effectExtent l="0" t="0" r="7620" b="11430"/>
            <wp:docPr id="15" name="图片 15" descr="lQDPJxbU6KtnW2jNDkDNFWCwtqE4uHbkstwDXeVn0YCJAA_5472_3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lQDPJxbU6KtnW2jNDkDNFWCwtqE4uHbkstwDXeVn0YCJAA_5472_3648"/>
                    <pic:cNvPicPr>
                      <a:picLocks noChangeAspect="1"/>
                    </pic:cNvPicPr>
                  </pic:nvPicPr>
                  <pic:blipFill>
                    <a:blip r:embed="rId12"/>
                    <a:stretch>
                      <a:fillRect/>
                    </a:stretch>
                  </pic:blipFill>
                  <pic:spPr>
                    <a:xfrm>
                      <a:off x="0" y="0"/>
                      <a:ext cx="5212080" cy="3474720"/>
                    </a:xfrm>
                    <a:prstGeom prst="rect">
                      <a:avLst/>
                    </a:prstGeom>
                  </pic:spPr>
                </pic:pic>
              </a:graphicData>
            </a:graphic>
          </wp:inline>
        </w:drawing>
      </w:r>
    </w:p>
    <w:p>
      <w:pPr>
        <w:spacing w:line="360" w:lineRule="auto"/>
        <w:ind w:firstLine="480" w:firstLineChars="200"/>
        <w:rPr>
          <w:rFonts w:hint="default" w:asciiTheme="minorEastAsia" w:hAnsiTheme="minorEastAsia"/>
          <w:sz w:val="24"/>
          <w:szCs w:val="2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Unicode MS">
    <w:panose1 w:val="020B0604020202020204"/>
    <w:charset w:val="86"/>
    <w:family w:val="roman"/>
    <w:pitch w:val="default"/>
    <w:sig w:usb0="FFFFFFFF" w:usb1="E9FFFFFF" w:usb2="0000003F" w:usb3="00000000" w:csb0="603F01FF" w:csb1="FFFF0000"/>
  </w:font>
  <w:font w:name="Helvetica-Narrow">
    <w:altName w:val="Arial Narrow"/>
    <w:panose1 w:val="00000000000000000000"/>
    <w:charset w:val="00"/>
    <w:family w:val="swiss"/>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 w:name="Noto Sans S Chinese Regular">
    <w:altName w:val="Arial Unicode MS"/>
    <w:panose1 w:val="00000000000000000000"/>
    <w:charset w:val="80"/>
    <w:family w:val="swiss"/>
    <w:pitch w:val="default"/>
    <w:sig w:usb0="00000000" w:usb1="00000000" w:usb2="00000016" w:usb3="00000000" w:csb0="00060107" w:csb1="0000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F1A7A"/>
    <w:multiLevelType w:val="singleLevel"/>
    <w:tmpl w:val="0D3F1A7A"/>
    <w:lvl w:ilvl="0" w:tentative="0">
      <w:start w:val="1"/>
      <w:numFmt w:val="bullet"/>
      <w:pStyle w:val="13"/>
      <w:lvlText w:val=""/>
      <w:lvlJc w:val="left"/>
      <w:pPr>
        <w:tabs>
          <w:tab w:val="left" w:pos="360"/>
        </w:tabs>
        <w:ind w:left="360" w:hanging="360"/>
      </w:pPr>
      <w:rPr>
        <w:rFonts w:hint="default" w:ascii="Wingdings" w:hAnsi="Wingdings"/>
      </w:rPr>
    </w:lvl>
  </w:abstractNum>
  <w:abstractNum w:abstractNumId="1">
    <w:nsid w:val="44B74E37"/>
    <w:multiLevelType w:val="multilevel"/>
    <w:tmpl w:val="44B74E37"/>
    <w:lvl w:ilvl="0" w:tentative="0">
      <w:start w:val="1"/>
      <w:numFmt w:val="decimal"/>
      <w:suff w:val="nothing"/>
      <w:lvlText w:val="%1、"/>
      <w:lvlJc w:val="left"/>
      <w:pPr>
        <w:ind w:left="0" w:leftChars="0" w:firstLine="0" w:firstLineChars="0"/>
      </w:pPr>
      <w:rPr>
        <w:rFonts w:hint="default"/>
      </w:rPr>
    </w:lvl>
    <w:lvl w:ilvl="1" w:tentative="0">
      <w:start w:val="1"/>
      <w:numFmt w:val="decimal"/>
      <w:suff w:val="nothing"/>
      <w:lvlText w:val="%1.%2、"/>
      <w:lvlJc w:val="left"/>
      <w:pPr>
        <w:ind w:left="0" w:leftChars="0" w:firstLine="0" w:firstLineChars="0"/>
      </w:pPr>
      <w:rPr>
        <w:rFonts w:hint="default"/>
      </w:rPr>
    </w:lvl>
    <w:lvl w:ilvl="2" w:tentative="0">
      <w:start w:val="1"/>
      <w:numFmt w:val="decimal"/>
      <w:suff w:val="nothing"/>
      <w:lvlText w:val="%1.%2.%3、"/>
      <w:lvlJc w:val="left"/>
      <w:pPr>
        <w:ind w:left="0" w:leftChars="0" w:firstLine="0" w:firstLineChars="0"/>
      </w:pPr>
      <w:rPr>
        <w:rFonts w:hint="default"/>
      </w:rPr>
    </w:lvl>
    <w:lvl w:ilvl="3" w:tentative="0">
      <w:start w:val="1"/>
      <w:numFmt w:val="decimal"/>
      <w:suff w:val="nothing"/>
      <w:lvlText w:val="%1.%2.%3.%4、"/>
      <w:lvlJc w:val="left"/>
      <w:pPr>
        <w:ind w:left="0" w:leftChars="0" w:firstLine="0" w:firstLineChars="0"/>
      </w:pPr>
      <w:rPr>
        <w:rFonts w:hint="default"/>
      </w:rPr>
    </w:lvl>
    <w:lvl w:ilvl="4" w:tentative="0">
      <w:start w:val="1"/>
      <w:numFmt w:val="decimal"/>
      <w:suff w:val="nothing"/>
      <w:lvlText w:val="%1.%2.%3.%4.%5、"/>
      <w:lvlJc w:val="left"/>
      <w:pPr>
        <w:ind w:left="0" w:leftChars="0" w:firstLine="0" w:firstLineChars="0"/>
      </w:pPr>
      <w:rPr>
        <w:rFonts w:hint="default"/>
      </w:rPr>
    </w:lvl>
    <w:lvl w:ilvl="5" w:tentative="0">
      <w:start w:val="1"/>
      <w:numFmt w:val="decimal"/>
      <w:suff w:val="nothing"/>
      <w:lvlText w:val="%1.%2.%3.%4.%5.%6、"/>
      <w:lvlJc w:val="left"/>
      <w:pPr>
        <w:ind w:left="0" w:leftChars="0" w:firstLine="0" w:firstLineChars="0"/>
      </w:pPr>
      <w:rPr>
        <w:rFonts w:hint="default"/>
      </w:rPr>
    </w:lvl>
    <w:lvl w:ilvl="6" w:tentative="0">
      <w:start w:val="1"/>
      <w:numFmt w:val="decimal"/>
      <w:suff w:val="nothing"/>
      <w:lvlText w:val="%1.%2.%3.%4.%5.%6.%7、"/>
      <w:lvlJc w:val="left"/>
      <w:pPr>
        <w:ind w:left="0" w:leftChars="0" w:firstLine="0" w:firstLineChars="0"/>
      </w:pPr>
      <w:rPr>
        <w:rFonts w:hint="default"/>
      </w:rPr>
    </w:lvl>
    <w:lvl w:ilvl="7" w:tentative="0">
      <w:start w:val="1"/>
      <w:numFmt w:val="decimal"/>
      <w:suff w:val="nothing"/>
      <w:lvlText w:val="%1.%2.%3.%4.%5.%6.%7.%8、"/>
      <w:lvlJc w:val="left"/>
      <w:pPr>
        <w:ind w:left="0" w:leftChars="0" w:firstLine="0" w:firstLineChars="0"/>
      </w:pPr>
      <w:rPr>
        <w:rFonts w:hint="default"/>
      </w:rPr>
    </w:lvl>
    <w:lvl w:ilvl="8" w:tentative="0">
      <w:start w:val="1"/>
      <w:numFmt w:val="decimal"/>
      <w:suff w:val="nothing"/>
      <w:lvlText w:val="%1.%2.%3.%4.%5.%6.%7.%8.%9、"/>
      <w:lvlJc w:val="left"/>
      <w:pPr>
        <w:ind w:left="0" w:leftChars="0" w:firstLine="0" w:firstLineChars="0"/>
      </w:pPr>
      <w:rPr>
        <w:rFonts w:hint="default"/>
      </w:rPr>
    </w:lvl>
  </w:abstractNum>
  <w:abstractNum w:abstractNumId="2">
    <w:nsid w:val="748566C1"/>
    <w:multiLevelType w:val="multilevel"/>
    <w:tmpl w:val="748566C1"/>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536"/>
    <w:rsid w:val="000001E5"/>
    <w:rsid w:val="00004397"/>
    <w:rsid w:val="00006326"/>
    <w:rsid w:val="000168ED"/>
    <w:rsid w:val="00042B39"/>
    <w:rsid w:val="000453B6"/>
    <w:rsid w:val="000519DC"/>
    <w:rsid w:val="000614E8"/>
    <w:rsid w:val="0006379C"/>
    <w:rsid w:val="00066D0C"/>
    <w:rsid w:val="00093D9A"/>
    <w:rsid w:val="000B2FFB"/>
    <w:rsid w:val="000E1C6C"/>
    <w:rsid w:val="00116ECF"/>
    <w:rsid w:val="00162EBA"/>
    <w:rsid w:val="00165DCC"/>
    <w:rsid w:val="00182248"/>
    <w:rsid w:val="001F317C"/>
    <w:rsid w:val="001F75C5"/>
    <w:rsid w:val="0020185A"/>
    <w:rsid w:val="00205BD5"/>
    <w:rsid w:val="00225468"/>
    <w:rsid w:val="00234986"/>
    <w:rsid w:val="00241399"/>
    <w:rsid w:val="0024604C"/>
    <w:rsid w:val="00257ED4"/>
    <w:rsid w:val="002827AB"/>
    <w:rsid w:val="002F2863"/>
    <w:rsid w:val="003030B9"/>
    <w:rsid w:val="00317F4B"/>
    <w:rsid w:val="00330422"/>
    <w:rsid w:val="00376E40"/>
    <w:rsid w:val="00377118"/>
    <w:rsid w:val="00394970"/>
    <w:rsid w:val="00397853"/>
    <w:rsid w:val="003B182E"/>
    <w:rsid w:val="003C0E9C"/>
    <w:rsid w:val="003C2FB7"/>
    <w:rsid w:val="003D2413"/>
    <w:rsid w:val="003F1458"/>
    <w:rsid w:val="004432F6"/>
    <w:rsid w:val="00463CC3"/>
    <w:rsid w:val="004A06E6"/>
    <w:rsid w:val="004C3121"/>
    <w:rsid w:val="005159F5"/>
    <w:rsid w:val="00527E1A"/>
    <w:rsid w:val="005436F6"/>
    <w:rsid w:val="00554B93"/>
    <w:rsid w:val="005B682E"/>
    <w:rsid w:val="005E6337"/>
    <w:rsid w:val="0061214B"/>
    <w:rsid w:val="0062614E"/>
    <w:rsid w:val="0063322E"/>
    <w:rsid w:val="00656153"/>
    <w:rsid w:val="00662474"/>
    <w:rsid w:val="00671E41"/>
    <w:rsid w:val="006A1E79"/>
    <w:rsid w:val="006B5E94"/>
    <w:rsid w:val="006E29F1"/>
    <w:rsid w:val="006F6998"/>
    <w:rsid w:val="006F6F50"/>
    <w:rsid w:val="0070343F"/>
    <w:rsid w:val="00716577"/>
    <w:rsid w:val="00730453"/>
    <w:rsid w:val="00730A7E"/>
    <w:rsid w:val="007472BD"/>
    <w:rsid w:val="00767175"/>
    <w:rsid w:val="00791E55"/>
    <w:rsid w:val="00793FD8"/>
    <w:rsid w:val="007B1A38"/>
    <w:rsid w:val="007B26AD"/>
    <w:rsid w:val="007B6744"/>
    <w:rsid w:val="007D2DE6"/>
    <w:rsid w:val="007F501A"/>
    <w:rsid w:val="00817C6C"/>
    <w:rsid w:val="00824AF2"/>
    <w:rsid w:val="00840C16"/>
    <w:rsid w:val="008D6DB7"/>
    <w:rsid w:val="008E1B4A"/>
    <w:rsid w:val="008E2112"/>
    <w:rsid w:val="008E7DC2"/>
    <w:rsid w:val="00915916"/>
    <w:rsid w:val="00951B16"/>
    <w:rsid w:val="00952BF6"/>
    <w:rsid w:val="00961986"/>
    <w:rsid w:val="009811C7"/>
    <w:rsid w:val="009877CA"/>
    <w:rsid w:val="0099231D"/>
    <w:rsid w:val="009A5F96"/>
    <w:rsid w:val="009D3E93"/>
    <w:rsid w:val="009E2F30"/>
    <w:rsid w:val="009F4560"/>
    <w:rsid w:val="009F7CA5"/>
    <w:rsid w:val="009F7FA0"/>
    <w:rsid w:val="00A31629"/>
    <w:rsid w:val="00A322BA"/>
    <w:rsid w:val="00A329DD"/>
    <w:rsid w:val="00A350BA"/>
    <w:rsid w:val="00A41920"/>
    <w:rsid w:val="00A800E7"/>
    <w:rsid w:val="00A805AD"/>
    <w:rsid w:val="00AA382F"/>
    <w:rsid w:val="00AE1843"/>
    <w:rsid w:val="00AE3B48"/>
    <w:rsid w:val="00B1748F"/>
    <w:rsid w:val="00B245F0"/>
    <w:rsid w:val="00B575F2"/>
    <w:rsid w:val="00B65A19"/>
    <w:rsid w:val="00B81A74"/>
    <w:rsid w:val="00B9573E"/>
    <w:rsid w:val="00BA0555"/>
    <w:rsid w:val="00BB2768"/>
    <w:rsid w:val="00BD23D5"/>
    <w:rsid w:val="00C1660B"/>
    <w:rsid w:val="00C365D5"/>
    <w:rsid w:val="00C62CC5"/>
    <w:rsid w:val="00C70A24"/>
    <w:rsid w:val="00C72D50"/>
    <w:rsid w:val="00C75F8D"/>
    <w:rsid w:val="00C76CCB"/>
    <w:rsid w:val="00C865A7"/>
    <w:rsid w:val="00CC0BFB"/>
    <w:rsid w:val="00CD5536"/>
    <w:rsid w:val="00CE39B5"/>
    <w:rsid w:val="00CF3769"/>
    <w:rsid w:val="00D0108B"/>
    <w:rsid w:val="00D014FE"/>
    <w:rsid w:val="00D13382"/>
    <w:rsid w:val="00D43FE8"/>
    <w:rsid w:val="00D56F1C"/>
    <w:rsid w:val="00D76656"/>
    <w:rsid w:val="00D958DE"/>
    <w:rsid w:val="00D95BD7"/>
    <w:rsid w:val="00E0494E"/>
    <w:rsid w:val="00E12A2E"/>
    <w:rsid w:val="00E138B5"/>
    <w:rsid w:val="00E46136"/>
    <w:rsid w:val="00E8513F"/>
    <w:rsid w:val="00EA43FF"/>
    <w:rsid w:val="00EA47C0"/>
    <w:rsid w:val="00EF7FEC"/>
    <w:rsid w:val="00F11098"/>
    <w:rsid w:val="00F11F17"/>
    <w:rsid w:val="00F12120"/>
    <w:rsid w:val="00F23BDF"/>
    <w:rsid w:val="00F53ADD"/>
    <w:rsid w:val="00F664E8"/>
    <w:rsid w:val="00FD239B"/>
    <w:rsid w:val="00FE1333"/>
    <w:rsid w:val="00FF14E5"/>
    <w:rsid w:val="00FF1989"/>
    <w:rsid w:val="01915353"/>
    <w:rsid w:val="05205355"/>
    <w:rsid w:val="05AB6935"/>
    <w:rsid w:val="05AC324C"/>
    <w:rsid w:val="08031D62"/>
    <w:rsid w:val="08EA1148"/>
    <w:rsid w:val="099C3C23"/>
    <w:rsid w:val="0AB85B93"/>
    <w:rsid w:val="144F4455"/>
    <w:rsid w:val="15E4163C"/>
    <w:rsid w:val="172A3830"/>
    <w:rsid w:val="17FD3508"/>
    <w:rsid w:val="19A228D2"/>
    <w:rsid w:val="1CA9011B"/>
    <w:rsid w:val="1FE32AA5"/>
    <w:rsid w:val="21303A25"/>
    <w:rsid w:val="223775AC"/>
    <w:rsid w:val="23DB1D7E"/>
    <w:rsid w:val="26587C20"/>
    <w:rsid w:val="277B0325"/>
    <w:rsid w:val="28A83AA2"/>
    <w:rsid w:val="2B63557B"/>
    <w:rsid w:val="2C753B77"/>
    <w:rsid w:val="2D732ECB"/>
    <w:rsid w:val="2E861A6F"/>
    <w:rsid w:val="2F91426B"/>
    <w:rsid w:val="2FB83588"/>
    <w:rsid w:val="30F62C0F"/>
    <w:rsid w:val="31726B84"/>
    <w:rsid w:val="3625051A"/>
    <w:rsid w:val="3BE82B1D"/>
    <w:rsid w:val="40A9039C"/>
    <w:rsid w:val="47064AB8"/>
    <w:rsid w:val="49800BE9"/>
    <w:rsid w:val="4A384EF0"/>
    <w:rsid w:val="4EEA3EF1"/>
    <w:rsid w:val="5808187F"/>
    <w:rsid w:val="597B7EA6"/>
    <w:rsid w:val="59F80041"/>
    <w:rsid w:val="5CFE0D00"/>
    <w:rsid w:val="5E91318F"/>
    <w:rsid w:val="5EEC18E8"/>
    <w:rsid w:val="5F7610AD"/>
    <w:rsid w:val="62304BF6"/>
    <w:rsid w:val="63592050"/>
    <w:rsid w:val="6A3E0FB3"/>
    <w:rsid w:val="6C4F1BE3"/>
    <w:rsid w:val="6C7C25B2"/>
    <w:rsid w:val="6CF250A4"/>
    <w:rsid w:val="70903091"/>
    <w:rsid w:val="732F36FA"/>
    <w:rsid w:val="739D107D"/>
    <w:rsid w:val="741110A4"/>
    <w:rsid w:val="74215FCA"/>
    <w:rsid w:val="75804D84"/>
    <w:rsid w:val="7A7956E9"/>
    <w:rsid w:val="7A96222C"/>
    <w:rsid w:val="7C603634"/>
    <w:rsid w:val="7CA67685"/>
    <w:rsid w:val="7CCC7C20"/>
    <w:rsid w:val="7DC348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iPriority="9" w:semiHidden="0" w:name="heading 6"/>
    <w:lsdException w:qFormat="1" w:uiPriority="9" w:semiHidden="0" w:name="heading 7"/>
    <w:lsdException w:qFormat="1" w:uiPriority="9" w:name="heading 8"/>
    <w:lsdException w:qFormat="1" w:uiPriority="9" w:name="heading 9"/>
    <w:lsdException w:qFormat="1" w:unhideWhenUsed="0" w:uiPriority="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qFormat="1" w:uiPriority="0" w:semiHidden="0" w:name="annotation reference"/>
    <w:lsdException w:uiPriority="99" w:name="line number"/>
    <w:lsdException w:uiPriority="99" w:name="page number"/>
    <w:lsdException w:qFormat="1" w:uiPriority="99" w:semiHidden="0" w:name="endnote reference"/>
    <w:lsdException w:qFormat="1" w:uiPriority="99" w:semiHidden="0" w:name="endnote text"/>
    <w:lsdException w:uiPriority="99" w:name="table of authorities"/>
    <w:lsdException w:uiPriority="99" w:name="macro"/>
    <w:lsdException w:qFormat="1" w:unhideWhenUsed="0" w:uiPriority="0" w:name="toa heading"/>
    <w:lsdException w:uiPriority="99" w:name="List"/>
    <w:lsdException w:qFormat="1"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qFormat="1" w:unhideWhenUsed="0" w:uiPriority="0" w:semiHidden="0"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nhideWhenUsed="0" w:uiPriority="99" w:semiHidden="0" w:name="Salutation"/>
    <w:lsdException w:qFormat="1" w:unhideWhenUsed="0" w:uiPriority="99" w:semiHidden="0" w:name="Date"/>
    <w:lsdException w:uiPriority="99" w:name="Body Text First Indent"/>
    <w:lsdException w:uiPriority="99" w:name="Body Text First Indent 2"/>
    <w:lsdException w:qFormat="1" w:unhideWhenUsed="0" w:uiPriority="99" w:semiHidden="0"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semiHidden="0"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qFormat="1"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57"/>
    <w:qFormat/>
    <w:uiPriority w:val="99"/>
    <w:pPr>
      <w:keepNext/>
      <w:keepLines/>
      <w:spacing w:before="340" w:after="330" w:line="578" w:lineRule="auto"/>
      <w:outlineLvl w:val="0"/>
    </w:pPr>
    <w:rPr>
      <w:b/>
      <w:bCs/>
      <w:kern w:val="44"/>
      <w:sz w:val="44"/>
      <w:szCs w:val="44"/>
    </w:rPr>
  </w:style>
  <w:style w:type="paragraph" w:styleId="3">
    <w:name w:val="heading 2"/>
    <w:basedOn w:val="1"/>
    <w:next w:val="1"/>
    <w:link w:val="59"/>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89"/>
    <w:qFormat/>
    <w:uiPriority w:val="9"/>
    <w:pPr>
      <w:keepNext/>
      <w:keepLines/>
      <w:spacing w:before="60" w:after="60"/>
      <w:outlineLvl w:val="2"/>
    </w:pPr>
    <w:rPr>
      <w:rFonts w:ascii="Calibri" w:hAnsi="Calibri" w:eastAsia="宋体" w:cs="Times New Roman"/>
      <w:b/>
      <w:bCs/>
      <w:szCs w:val="32"/>
    </w:rPr>
  </w:style>
  <w:style w:type="paragraph" w:styleId="5">
    <w:name w:val="heading 4"/>
    <w:basedOn w:val="1"/>
    <w:next w:val="1"/>
    <w:link w:val="61"/>
    <w:qFormat/>
    <w:uiPriority w:val="9"/>
    <w:pPr>
      <w:keepNext/>
      <w:keepLines/>
      <w:spacing w:before="60" w:after="60"/>
      <w:outlineLvl w:val="3"/>
    </w:pPr>
    <w:rPr>
      <w:rFonts w:ascii="Cambria" w:hAnsi="Cambria" w:eastAsia="宋体" w:cs="Times New Roman"/>
      <w:b/>
      <w:bCs/>
      <w:szCs w:val="28"/>
    </w:rPr>
  </w:style>
  <w:style w:type="paragraph" w:styleId="6">
    <w:name w:val="heading 5"/>
    <w:basedOn w:val="1"/>
    <w:next w:val="1"/>
    <w:link w:val="62"/>
    <w:qFormat/>
    <w:uiPriority w:val="9"/>
    <w:pPr>
      <w:keepNext/>
      <w:keepLines/>
      <w:spacing w:before="60" w:after="60"/>
      <w:outlineLvl w:val="4"/>
    </w:pPr>
    <w:rPr>
      <w:rFonts w:ascii="Calibri" w:hAnsi="Calibri" w:eastAsia="宋体" w:cs="Times New Roman"/>
      <w:b/>
      <w:bCs/>
      <w:szCs w:val="28"/>
    </w:rPr>
  </w:style>
  <w:style w:type="paragraph" w:styleId="7">
    <w:name w:val="heading 6"/>
    <w:basedOn w:val="1"/>
    <w:next w:val="1"/>
    <w:link w:val="63"/>
    <w:unhideWhenUsed/>
    <w:qFormat/>
    <w:uiPriority w:val="9"/>
    <w:pPr>
      <w:keepNext/>
      <w:keepLines/>
      <w:widowControl/>
      <w:spacing w:before="60" w:after="60"/>
      <w:jc w:val="left"/>
      <w:outlineLvl w:val="5"/>
    </w:pPr>
    <w:rPr>
      <w:rFonts w:eastAsia="宋体" w:asciiTheme="majorHAnsi" w:hAnsiTheme="majorHAnsi" w:cstheme="majorBidi"/>
      <w:b/>
      <w:bCs/>
      <w:kern w:val="0"/>
      <w:szCs w:val="24"/>
    </w:rPr>
  </w:style>
  <w:style w:type="paragraph" w:styleId="8">
    <w:name w:val="heading 7"/>
    <w:basedOn w:val="1"/>
    <w:next w:val="1"/>
    <w:link w:val="64"/>
    <w:unhideWhenUsed/>
    <w:qFormat/>
    <w:uiPriority w:val="9"/>
    <w:pPr>
      <w:keepNext/>
      <w:keepLines/>
      <w:widowControl/>
      <w:spacing w:before="240" w:after="64" w:line="320" w:lineRule="auto"/>
      <w:jc w:val="left"/>
      <w:outlineLvl w:val="6"/>
    </w:pPr>
    <w:rPr>
      <w:rFonts w:ascii="宋体" w:hAnsi="宋体" w:eastAsia="宋体" w:cs="宋体"/>
      <w:b/>
      <w:bCs/>
      <w:kern w:val="0"/>
      <w:sz w:val="24"/>
      <w:szCs w:val="24"/>
    </w:rPr>
  </w:style>
  <w:style w:type="character" w:default="1" w:styleId="41">
    <w:name w:val="Default Paragraph Font"/>
    <w:semiHidden/>
    <w:unhideWhenUsed/>
    <w:qFormat/>
    <w:uiPriority w:val="1"/>
  </w:style>
  <w:style w:type="table" w:default="1" w:styleId="39">
    <w:name w:val="Normal Table"/>
    <w:semiHidden/>
    <w:unhideWhenUsed/>
    <w:qFormat/>
    <w:uiPriority w:val="99"/>
    <w:tblPr>
      <w:tblLayout w:type="fixed"/>
      <w:tblCellMar>
        <w:top w:w="0" w:type="dxa"/>
        <w:left w:w="108" w:type="dxa"/>
        <w:bottom w:w="0" w:type="dxa"/>
        <w:right w:w="108" w:type="dxa"/>
      </w:tblCellMar>
    </w:tblPr>
  </w:style>
  <w:style w:type="paragraph" w:styleId="9">
    <w:name w:val="toc 7"/>
    <w:basedOn w:val="1"/>
    <w:next w:val="1"/>
    <w:unhideWhenUsed/>
    <w:qFormat/>
    <w:uiPriority w:val="39"/>
    <w:pPr>
      <w:ind w:left="2520" w:leftChars="1200"/>
    </w:pPr>
  </w:style>
  <w:style w:type="paragraph" w:styleId="10">
    <w:name w:val="Note Heading"/>
    <w:basedOn w:val="1"/>
    <w:next w:val="1"/>
    <w:link w:val="73"/>
    <w:qFormat/>
    <w:uiPriority w:val="99"/>
    <w:pPr>
      <w:jc w:val="center"/>
    </w:pPr>
    <w:rPr>
      <w:rFonts w:ascii="Times New Roman" w:hAnsi="Times New Roman" w:eastAsia="宋体" w:cs="Times New Roman"/>
      <w:szCs w:val="21"/>
    </w:rPr>
  </w:style>
  <w:style w:type="paragraph" w:styleId="11">
    <w:name w:val="Normal Indent"/>
    <w:basedOn w:val="1"/>
    <w:link w:val="95"/>
    <w:qFormat/>
    <w:uiPriority w:val="0"/>
    <w:pPr>
      <w:ind w:firstLine="420" w:firstLineChars="200"/>
    </w:pPr>
    <w:rPr>
      <w:rFonts w:ascii="Times New Roman" w:hAnsi="Times New Roman" w:eastAsia="宋体" w:cs="Times New Roman"/>
      <w:szCs w:val="21"/>
    </w:rPr>
  </w:style>
  <w:style w:type="paragraph" w:styleId="12">
    <w:name w:val="caption"/>
    <w:basedOn w:val="1"/>
    <w:next w:val="1"/>
    <w:unhideWhenUsed/>
    <w:qFormat/>
    <w:uiPriority w:val="35"/>
    <w:rPr>
      <w:rFonts w:eastAsia="黑体" w:asciiTheme="majorHAnsi" w:hAnsiTheme="majorHAnsi" w:cstheme="majorBidi"/>
      <w:sz w:val="20"/>
      <w:szCs w:val="20"/>
    </w:rPr>
  </w:style>
  <w:style w:type="paragraph" w:styleId="13">
    <w:name w:val="List Bullet"/>
    <w:basedOn w:val="1"/>
    <w:semiHidden/>
    <w:unhideWhenUsed/>
    <w:qFormat/>
    <w:uiPriority w:val="99"/>
    <w:pPr>
      <w:numPr>
        <w:ilvl w:val="0"/>
        <w:numId w:val="1"/>
      </w:numPr>
    </w:pPr>
  </w:style>
  <w:style w:type="paragraph" w:styleId="14">
    <w:name w:val="Document Map"/>
    <w:basedOn w:val="1"/>
    <w:link w:val="78"/>
    <w:unhideWhenUsed/>
    <w:qFormat/>
    <w:uiPriority w:val="99"/>
    <w:rPr>
      <w:rFonts w:ascii="宋体" w:hAnsi="Calibri" w:eastAsia="宋体" w:cs="Times New Roman"/>
      <w:sz w:val="18"/>
      <w:szCs w:val="18"/>
    </w:rPr>
  </w:style>
  <w:style w:type="paragraph" w:styleId="15">
    <w:name w:val="toa heading"/>
    <w:basedOn w:val="1"/>
    <w:next w:val="1"/>
    <w:semiHidden/>
    <w:qFormat/>
    <w:uiPriority w:val="0"/>
    <w:pPr>
      <w:spacing w:before="120"/>
    </w:pPr>
    <w:rPr>
      <w:rFonts w:ascii="Arial" w:hAnsi="Arial" w:eastAsia="宋体" w:cs="Times New Roman"/>
      <w:b/>
      <w:bCs/>
      <w:szCs w:val="21"/>
    </w:rPr>
  </w:style>
  <w:style w:type="paragraph" w:styleId="16">
    <w:name w:val="annotation text"/>
    <w:basedOn w:val="1"/>
    <w:link w:val="54"/>
    <w:unhideWhenUsed/>
    <w:qFormat/>
    <w:uiPriority w:val="99"/>
    <w:pPr>
      <w:jc w:val="left"/>
    </w:pPr>
  </w:style>
  <w:style w:type="paragraph" w:styleId="17">
    <w:name w:val="Salutation"/>
    <w:basedOn w:val="1"/>
    <w:next w:val="1"/>
    <w:link w:val="65"/>
    <w:qFormat/>
    <w:uiPriority w:val="99"/>
    <w:rPr>
      <w:rFonts w:ascii="Times New Roman" w:hAnsi="Times New Roman" w:eastAsia="宋体" w:cs="Times New Roman"/>
      <w:szCs w:val="21"/>
    </w:rPr>
  </w:style>
  <w:style w:type="paragraph" w:styleId="18">
    <w:name w:val="List Bullet 3"/>
    <w:basedOn w:val="1"/>
    <w:qFormat/>
    <w:uiPriority w:val="0"/>
    <w:pPr>
      <w:tabs>
        <w:tab w:val="left" w:pos="1200"/>
      </w:tabs>
    </w:pPr>
    <w:rPr>
      <w:rFonts w:ascii="Times New Roman" w:hAnsi="Times New Roman" w:eastAsia="宋体" w:cs="Times New Roman"/>
      <w:szCs w:val="21"/>
    </w:rPr>
  </w:style>
  <w:style w:type="paragraph" w:styleId="19">
    <w:name w:val="Body Text"/>
    <w:basedOn w:val="1"/>
    <w:link w:val="70"/>
    <w:qFormat/>
    <w:uiPriority w:val="99"/>
    <w:pPr>
      <w:spacing w:after="120"/>
    </w:pPr>
    <w:rPr>
      <w:rFonts w:ascii="Times New Roman" w:hAnsi="Times New Roman" w:eastAsia="宋体" w:cs="Times New Roman"/>
      <w:szCs w:val="21"/>
    </w:rPr>
  </w:style>
  <w:style w:type="paragraph" w:styleId="20">
    <w:name w:val="Body Text Indent"/>
    <w:basedOn w:val="1"/>
    <w:qFormat/>
    <w:uiPriority w:val="0"/>
    <w:pPr>
      <w:spacing w:line="620" w:lineRule="exact"/>
    </w:pPr>
    <w:rPr>
      <w:rFonts w:ascii="宋体"/>
      <w:sz w:val="28"/>
    </w:rPr>
  </w:style>
  <w:style w:type="paragraph" w:styleId="21">
    <w:name w:val="toc 5"/>
    <w:basedOn w:val="1"/>
    <w:next w:val="1"/>
    <w:unhideWhenUsed/>
    <w:qFormat/>
    <w:uiPriority w:val="39"/>
    <w:pPr>
      <w:ind w:left="1680" w:leftChars="800"/>
    </w:pPr>
  </w:style>
  <w:style w:type="paragraph" w:styleId="22">
    <w:name w:val="toc 3"/>
    <w:basedOn w:val="1"/>
    <w:next w:val="1"/>
    <w:unhideWhenUsed/>
    <w:qFormat/>
    <w:uiPriority w:val="39"/>
    <w:pPr>
      <w:widowControl/>
      <w:spacing w:after="100" w:line="276" w:lineRule="auto"/>
      <w:ind w:left="440"/>
      <w:jc w:val="left"/>
    </w:pPr>
    <w:rPr>
      <w:rFonts w:ascii="Calibri" w:hAnsi="Calibri" w:eastAsia="宋体" w:cs="Times New Roman"/>
      <w:kern w:val="0"/>
      <w:sz w:val="22"/>
    </w:rPr>
  </w:style>
  <w:style w:type="paragraph" w:styleId="23">
    <w:name w:val="Plain Text"/>
    <w:basedOn w:val="1"/>
    <w:link w:val="68"/>
    <w:qFormat/>
    <w:uiPriority w:val="0"/>
    <w:rPr>
      <w:rFonts w:ascii="宋体" w:hAnsi="Courier New" w:eastAsia="宋体" w:cs="Times New Roman"/>
      <w:szCs w:val="20"/>
    </w:rPr>
  </w:style>
  <w:style w:type="paragraph" w:styleId="24">
    <w:name w:val="toc 8"/>
    <w:basedOn w:val="1"/>
    <w:next w:val="1"/>
    <w:unhideWhenUsed/>
    <w:qFormat/>
    <w:uiPriority w:val="39"/>
    <w:pPr>
      <w:ind w:left="2940" w:leftChars="1400"/>
    </w:pPr>
  </w:style>
  <w:style w:type="paragraph" w:styleId="25">
    <w:name w:val="Date"/>
    <w:basedOn w:val="1"/>
    <w:next w:val="1"/>
    <w:link w:val="72"/>
    <w:qFormat/>
    <w:uiPriority w:val="99"/>
    <w:pPr>
      <w:ind w:left="100" w:leftChars="2500"/>
    </w:pPr>
    <w:rPr>
      <w:rFonts w:ascii="Times New Roman" w:hAnsi="Times New Roman" w:eastAsia="宋体" w:cs="Times New Roman"/>
      <w:szCs w:val="21"/>
    </w:rPr>
  </w:style>
  <w:style w:type="paragraph" w:styleId="26">
    <w:name w:val="endnote text"/>
    <w:basedOn w:val="1"/>
    <w:link w:val="82"/>
    <w:unhideWhenUsed/>
    <w:qFormat/>
    <w:uiPriority w:val="99"/>
    <w:pPr>
      <w:widowControl/>
      <w:snapToGrid w:val="0"/>
      <w:jc w:val="left"/>
    </w:pPr>
    <w:rPr>
      <w:rFonts w:ascii="宋体" w:hAnsi="宋体" w:eastAsia="宋体" w:cs="宋体"/>
      <w:kern w:val="0"/>
      <w:szCs w:val="24"/>
    </w:rPr>
  </w:style>
  <w:style w:type="paragraph" w:styleId="27">
    <w:name w:val="Balloon Text"/>
    <w:basedOn w:val="1"/>
    <w:link w:val="56"/>
    <w:unhideWhenUsed/>
    <w:qFormat/>
    <w:uiPriority w:val="99"/>
    <w:rPr>
      <w:sz w:val="18"/>
      <w:szCs w:val="18"/>
    </w:rPr>
  </w:style>
  <w:style w:type="paragraph" w:styleId="28">
    <w:name w:val="footer"/>
    <w:basedOn w:val="1"/>
    <w:link w:val="48"/>
    <w:unhideWhenUsed/>
    <w:qFormat/>
    <w:uiPriority w:val="99"/>
    <w:pPr>
      <w:tabs>
        <w:tab w:val="center" w:pos="4153"/>
        <w:tab w:val="right" w:pos="8306"/>
      </w:tabs>
      <w:snapToGrid w:val="0"/>
      <w:jc w:val="left"/>
    </w:pPr>
    <w:rPr>
      <w:sz w:val="18"/>
      <w:szCs w:val="18"/>
    </w:rPr>
  </w:style>
  <w:style w:type="paragraph" w:styleId="29">
    <w:name w:val="header"/>
    <w:basedOn w:val="1"/>
    <w:link w:val="47"/>
    <w:unhideWhenUsed/>
    <w:qFormat/>
    <w:uiPriority w:val="99"/>
    <w:pPr>
      <w:pBdr>
        <w:bottom w:val="single" w:color="auto" w:sz="6" w:space="1"/>
      </w:pBdr>
      <w:tabs>
        <w:tab w:val="center" w:pos="4153"/>
        <w:tab w:val="right" w:pos="8306"/>
      </w:tabs>
      <w:snapToGrid w:val="0"/>
      <w:jc w:val="center"/>
    </w:pPr>
    <w:rPr>
      <w:sz w:val="18"/>
      <w:szCs w:val="18"/>
    </w:rPr>
  </w:style>
  <w:style w:type="paragraph" w:styleId="30">
    <w:name w:val="toc 1"/>
    <w:basedOn w:val="1"/>
    <w:next w:val="1"/>
    <w:unhideWhenUsed/>
    <w:qFormat/>
    <w:uiPriority w:val="39"/>
  </w:style>
  <w:style w:type="paragraph" w:styleId="31">
    <w:name w:val="toc 4"/>
    <w:basedOn w:val="1"/>
    <w:next w:val="1"/>
    <w:unhideWhenUsed/>
    <w:qFormat/>
    <w:uiPriority w:val="39"/>
    <w:pPr>
      <w:ind w:left="1260" w:leftChars="600"/>
    </w:pPr>
  </w:style>
  <w:style w:type="paragraph" w:styleId="32">
    <w:name w:val="toc 6"/>
    <w:basedOn w:val="1"/>
    <w:next w:val="1"/>
    <w:unhideWhenUsed/>
    <w:qFormat/>
    <w:uiPriority w:val="39"/>
    <w:pPr>
      <w:ind w:left="2100" w:leftChars="1000"/>
    </w:pPr>
  </w:style>
  <w:style w:type="paragraph" w:styleId="33">
    <w:name w:val="toc 2"/>
    <w:basedOn w:val="1"/>
    <w:next w:val="1"/>
    <w:unhideWhenUsed/>
    <w:qFormat/>
    <w:uiPriority w:val="39"/>
    <w:pPr>
      <w:ind w:left="420" w:leftChars="200"/>
    </w:pPr>
  </w:style>
  <w:style w:type="paragraph" w:styleId="34">
    <w:name w:val="toc 9"/>
    <w:basedOn w:val="1"/>
    <w:next w:val="1"/>
    <w:unhideWhenUsed/>
    <w:qFormat/>
    <w:uiPriority w:val="39"/>
    <w:pPr>
      <w:ind w:left="3360" w:leftChars="1600"/>
    </w:pPr>
  </w:style>
  <w:style w:type="paragraph" w:styleId="3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36">
    <w:name w:val="index 1"/>
    <w:basedOn w:val="1"/>
    <w:next w:val="1"/>
    <w:semiHidden/>
    <w:qFormat/>
    <w:uiPriority w:val="0"/>
    <w:pPr>
      <w:widowControl/>
      <w:ind w:firstLine="420" w:firstLineChars="200"/>
      <w:jc w:val="left"/>
    </w:pPr>
    <w:rPr>
      <w:rFonts w:ascii="宋体" w:hAnsi="宋体" w:eastAsia="宋体" w:cs="Times New Roman"/>
      <w:color w:val="000000"/>
      <w:kern w:val="0"/>
      <w:szCs w:val="21"/>
    </w:rPr>
  </w:style>
  <w:style w:type="paragraph" w:styleId="37">
    <w:name w:val="Title"/>
    <w:basedOn w:val="1"/>
    <w:next w:val="1"/>
    <w:link w:val="80"/>
    <w:qFormat/>
    <w:uiPriority w:val="0"/>
    <w:pPr>
      <w:spacing w:before="240" w:after="60"/>
      <w:jc w:val="center"/>
      <w:outlineLvl w:val="0"/>
    </w:pPr>
    <w:rPr>
      <w:rFonts w:eastAsia="宋体" w:asciiTheme="majorHAnsi" w:hAnsiTheme="majorHAnsi" w:cstheme="majorBidi"/>
      <w:b/>
      <w:bCs/>
      <w:sz w:val="32"/>
      <w:szCs w:val="32"/>
    </w:rPr>
  </w:style>
  <w:style w:type="paragraph" w:styleId="38">
    <w:name w:val="annotation subject"/>
    <w:basedOn w:val="16"/>
    <w:next w:val="16"/>
    <w:link w:val="55"/>
    <w:unhideWhenUsed/>
    <w:qFormat/>
    <w:uiPriority w:val="99"/>
    <w:rPr>
      <w:b/>
      <w:bCs/>
    </w:rPr>
  </w:style>
  <w:style w:type="table" w:styleId="40">
    <w:name w:val="Table Grid"/>
    <w:basedOn w:val="3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42">
    <w:name w:val="Strong"/>
    <w:basedOn w:val="41"/>
    <w:qFormat/>
    <w:uiPriority w:val="22"/>
    <w:rPr>
      <w:b/>
    </w:rPr>
  </w:style>
  <w:style w:type="character" w:styleId="43">
    <w:name w:val="endnote reference"/>
    <w:basedOn w:val="41"/>
    <w:unhideWhenUsed/>
    <w:qFormat/>
    <w:uiPriority w:val="99"/>
    <w:rPr>
      <w:vertAlign w:val="superscript"/>
    </w:rPr>
  </w:style>
  <w:style w:type="character" w:styleId="44">
    <w:name w:val="Emphasis"/>
    <w:basedOn w:val="41"/>
    <w:qFormat/>
    <w:uiPriority w:val="20"/>
    <w:rPr>
      <w:color w:val="CC0000"/>
    </w:rPr>
  </w:style>
  <w:style w:type="character" w:styleId="45">
    <w:name w:val="Hyperlink"/>
    <w:basedOn w:val="41"/>
    <w:unhideWhenUsed/>
    <w:qFormat/>
    <w:uiPriority w:val="99"/>
    <w:rPr>
      <w:color w:val="0563C1" w:themeColor="hyperlink"/>
      <w:u w:val="single"/>
      <w14:textFill>
        <w14:solidFill>
          <w14:schemeClr w14:val="hlink"/>
        </w14:solidFill>
      </w14:textFill>
    </w:rPr>
  </w:style>
  <w:style w:type="character" w:styleId="46">
    <w:name w:val="annotation reference"/>
    <w:basedOn w:val="41"/>
    <w:unhideWhenUsed/>
    <w:qFormat/>
    <w:uiPriority w:val="0"/>
    <w:rPr>
      <w:sz w:val="21"/>
      <w:szCs w:val="21"/>
    </w:rPr>
  </w:style>
  <w:style w:type="character" w:customStyle="1" w:styleId="47">
    <w:name w:val="页眉 Char"/>
    <w:basedOn w:val="41"/>
    <w:link w:val="29"/>
    <w:qFormat/>
    <w:uiPriority w:val="99"/>
    <w:rPr>
      <w:sz w:val="18"/>
      <w:szCs w:val="18"/>
    </w:rPr>
  </w:style>
  <w:style w:type="character" w:customStyle="1" w:styleId="48">
    <w:name w:val="页脚 Char"/>
    <w:basedOn w:val="41"/>
    <w:link w:val="28"/>
    <w:qFormat/>
    <w:uiPriority w:val="99"/>
    <w:rPr>
      <w:sz w:val="18"/>
      <w:szCs w:val="18"/>
    </w:rPr>
  </w:style>
  <w:style w:type="paragraph" w:customStyle="1" w:styleId="49">
    <w:name w:val="aSTL正文"/>
    <w:basedOn w:val="1"/>
    <w:link w:val="50"/>
    <w:qFormat/>
    <w:uiPriority w:val="0"/>
    <w:pPr>
      <w:spacing w:line="300" w:lineRule="auto"/>
      <w:ind w:firstLine="200" w:firstLineChars="200"/>
    </w:pPr>
    <w:rPr>
      <w:rFonts w:ascii="Calibri" w:hAnsi="Calibri" w:eastAsia="宋体" w:cs="Times New Roman"/>
      <w:kern w:val="0"/>
      <w:sz w:val="24"/>
      <w:szCs w:val="20"/>
      <w:lang w:val="zh-CN"/>
    </w:rPr>
  </w:style>
  <w:style w:type="character" w:customStyle="1" w:styleId="50">
    <w:name w:val="aSTL正文 Char"/>
    <w:link w:val="49"/>
    <w:qFormat/>
    <w:uiPriority w:val="0"/>
    <w:rPr>
      <w:rFonts w:ascii="Calibri" w:hAnsi="Calibri" w:eastAsia="宋体" w:cs="Times New Roman"/>
      <w:kern w:val="0"/>
      <w:sz w:val="24"/>
      <w:szCs w:val="20"/>
      <w:lang w:val="zh-CN" w:eastAsia="zh-CN"/>
    </w:rPr>
  </w:style>
  <w:style w:type="paragraph" w:customStyle="1" w:styleId="51">
    <w:name w:val="4.1.1.1.1"/>
    <w:basedOn w:val="1"/>
    <w:link w:val="52"/>
    <w:qFormat/>
    <w:uiPriority w:val="0"/>
    <w:pPr>
      <w:tabs>
        <w:tab w:val="left" w:pos="142"/>
      </w:tabs>
      <w:spacing w:beforeLines="50" w:afterLines="50"/>
      <w:ind w:left="200" w:leftChars="200"/>
      <w:jc w:val="left"/>
      <w:outlineLvl w:val="3"/>
    </w:pPr>
    <w:rPr>
      <w:rFonts w:ascii="宋体" w:hAnsi="宋体" w:eastAsia="宋体" w:cs="Times New Roman"/>
      <w:b/>
      <w:color w:val="000000"/>
      <w:kern w:val="0"/>
      <w:sz w:val="24"/>
      <w:szCs w:val="24"/>
      <w:lang w:val="zh-CN"/>
    </w:rPr>
  </w:style>
  <w:style w:type="character" w:customStyle="1" w:styleId="52">
    <w:name w:val="4.1.1.1.1 Char"/>
    <w:link w:val="51"/>
    <w:qFormat/>
    <w:uiPriority w:val="0"/>
    <w:rPr>
      <w:rFonts w:ascii="宋体" w:hAnsi="宋体" w:eastAsia="宋体" w:cs="Times New Roman"/>
      <w:b/>
      <w:color w:val="000000"/>
      <w:kern w:val="0"/>
      <w:sz w:val="24"/>
      <w:szCs w:val="24"/>
      <w:lang w:val="zh-CN" w:eastAsia="zh-CN"/>
    </w:rPr>
  </w:style>
  <w:style w:type="paragraph" w:styleId="53">
    <w:name w:val="List Paragraph"/>
    <w:basedOn w:val="1"/>
    <w:qFormat/>
    <w:uiPriority w:val="34"/>
    <w:pPr>
      <w:ind w:firstLine="420" w:firstLineChars="200"/>
    </w:pPr>
    <w:rPr>
      <w:rFonts w:ascii="Calibri" w:hAnsi="Calibri" w:eastAsia="宋体" w:cs="Times New Roman"/>
    </w:rPr>
  </w:style>
  <w:style w:type="character" w:customStyle="1" w:styleId="54">
    <w:name w:val="批注文字 Char"/>
    <w:basedOn w:val="41"/>
    <w:link w:val="16"/>
    <w:qFormat/>
    <w:uiPriority w:val="99"/>
  </w:style>
  <w:style w:type="character" w:customStyle="1" w:styleId="55">
    <w:name w:val="批注主题 Char"/>
    <w:basedOn w:val="54"/>
    <w:link w:val="38"/>
    <w:qFormat/>
    <w:uiPriority w:val="99"/>
    <w:rPr>
      <w:b/>
      <w:bCs/>
    </w:rPr>
  </w:style>
  <w:style w:type="character" w:customStyle="1" w:styleId="56">
    <w:name w:val="批注框文本 Char"/>
    <w:basedOn w:val="41"/>
    <w:link w:val="27"/>
    <w:qFormat/>
    <w:uiPriority w:val="99"/>
    <w:rPr>
      <w:sz w:val="18"/>
      <w:szCs w:val="18"/>
    </w:rPr>
  </w:style>
  <w:style w:type="character" w:customStyle="1" w:styleId="57">
    <w:name w:val="标题 1 Char"/>
    <w:basedOn w:val="41"/>
    <w:link w:val="2"/>
    <w:qFormat/>
    <w:uiPriority w:val="99"/>
    <w:rPr>
      <w:b/>
      <w:bCs/>
      <w:kern w:val="44"/>
      <w:sz w:val="44"/>
      <w:szCs w:val="44"/>
    </w:rPr>
  </w:style>
  <w:style w:type="paragraph" w:customStyle="1" w:styleId="58">
    <w:name w:val="TOC 标题1"/>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E75B6" w:themeColor="accent1" w:themeShade="BF"/>
      <w:kern w:val="0"/>
      <w:sz w:val="32"/>
      <w:szCs w:val="32"/>
    </w:rPr>
  </w:style>
  <w:style w:type="character" w:customStyle="1" w:styleId="59">
    <w:name w:val="标题 2 Char"/>
    <w:basedOn w:val="41"/>
    <w:link w:val="3"/>
    <w:qFormat/>
    <w:uiPriority w:val="0"/>
    <w:rPr>
      <w:rFonts w:asciiTheme="majorHAnsi" w:hAnsiTheme="majorHAnsi" w:eastAsiaTheme="majorEastAsia" w:cstheme="majorBidi"/>
      <w:b/>
      <w:bCs/>
      <w:sz w:val="32"/>
      <w:szCs w:val="32"/>
    </w:rPr>
  </w:style>
  <w:style w:type="character" w:customStyle="1" w:styleId="60">
    <w:name w:val="标题 3 Char"/>
    <w:basedOn w:val="41"/>
    <w:qFormat/>
    <w:uiPriority w:val="9"/>
    <w:rPr>
      <w:rFonts w:ascii="Calibri" w:hAnsi="Calibri" w:eastAsia="宋体" w:cs="Times New Roman"/>
      <w:b/>
      <w:bCs/>
      <w:szCs w:val="32"/>
    </w:rPr>
  </w:style>
  <w:style w:type="character" w:customStyle="1" w:styleId="61">
    <w:name w:val="标题 4 Char"/>
    <w:basedOn w:val="41"/>
    <w:link w:val="5"/>
    <w:qFormat/>
    <w:uiPriority w:val="9"/>
    <w:rPr>
      <w:rFonts w:ascii="Cambria" w:hAnsi="Cambria" w:eastAsia="宋体" w:cs="Times New Roman"/>
      <w:b/>
      <w:bCs/>
      <w:szCs w:val="28"/>
    </w:rPr>
  </w:style>
  <w:style w:type="character" w:customStyle="1" w:styleId="62">
    <w:name w:val="标题 5 Char"/>
    <w:basedOn w:val="41"/>
    <w:link w:val="6"/>
    <w:qFormat/>
    <w:uiPriority w:val="9"/>
    <w:rPr>
      <w:rFonts w:ascii="Calibri" w:hAnsi="Calibri" w:eastAsia="宋体" w:cs="Times New Roman"/>
      <w:b/>
      <w:bCs/>
      <w:szCs w:val="28"/>
    </w:rPr>
  </w:style>
  <w:style w:type="character" w:customStyle="1" w:styleId="63">
    <w:name w:val="标题 6 Char"/>
    <w:basedOn w:val="41"/>
    <w:link w:val="7"/>
    <w:qFormat/>
    <w:uiPriority w:val="9"/>
    <w:rPr>
      <w:rFonts w:eastAsia="宋体" w:asciiTheme="majorHAnsi" w:hAnsiTheme="majorHAnsi" w:cstheme="majorBidi"/>
      <w:b/>
      <w:bCs/>
      <w:kern w:val="0"/>
      <w:szCs w:val="24"/>
    </w:rPr>
  </w:style>
  <w:style w:type="character" w:customStyle="1" w:styleId="64">
    <w:name w:val="标题 7 Char"/>
    <w:basedOn w:val="41"/>
    <w:link w:val="8"/>
    <w:qFormat/>
    <w:uiPriority w:val="9"/>
    <w:rPr>
      <w:rFonts w:ascii="宋体" w:hAnsi="宋体" w:eastAsia="宋体" w:cs="宋体"/>
      <w:b/>
      <w:bCs/>
      <w:kern w:val="0"/>
      <w:sz w:val="24"/>
      <w:szCs w:val="24"/>
    </w:rPr>
  </w:style>
  <w:style w:type="character" w:customStyle="1" w:styleId="65">
    <w:name w:val="称呼 Char"/>
    <w:basedOn w:val="41"/>
    <w:link w:val="17"/>
    <w:qFormat/>
    <w:uiPriority w:val="99"/>
    <w:rPr>
      <w:rFonts w:ascii="Times New Roman" w:hAnsi="Times New Roman" w:eastAsia="宋体" w:cs="Times New Roman"/>
      <w:szCs w:val="21"/>
    </w:rPr>
  </w:style>
  <w:style w:type="character" w:customStyle="1" w:styleId="66">
    <w:name w:val="notnullcss1"/>
    <w:basedOn w:val="41"/>
    <w:qFormat/>
    <w:uiPriority w:val="99"/>
    <w:rPr>
      <w:rFonts w:eastAsia="宋体" w:cs="Times New Roman"/>
      <w:color w:val="FF0000"/>
      <w:kern w:val="2"/>
      <w:sz w:val="24"/>
      <w:szCs w:val="24"/>
      <w:lang w:val="en-US" w:eastAsia="zh-CN" w:bidi="ar-SA"/>
    </w:rPr>
  </w:style>
  <w:style w:type="paragraph" w:customStyle="1" w:styleId="67">
    <w:name w:val="xl61"/>
    <w:basedOn w:val="1"/>
    <w:qFormat/>
    <w:uiPriority w:val="99"/>
    <w:pPr>
      <w:widowControl/>
      <w:spacing w:before="100" w:after="100"/>
      <w:jc w:val="right"/>
    </w:pPr>
    <w:rPr>
      <w:rFonts w:ascii="Arial Unicode MS" w:hAnsi="Times New Roman" w:eastAsia="Arial Unicode MS" w:cs="Times New Roman"/>
      <w:kern w:val="0"/>
      <w:sz w:val="18"/>
      <w:szCs w:val="18"/>
    </w:rPr>
  </w:style>
  <w:style w:type="character" w:customStyle="1" w:styleId="68">
    <w:name w:val="纯文本 Char"/>
    <w:basedOn w:val="41"/>
    <w:link w:val="23"/>
    <w:qFormat/>
    <w:uiPriority w:val="0"/>
    <w:rPr>
      <w:rFonts w:ascii="宋体" w:hAnsi="Courier New" w:eastAsia="宋体" w:cs="Times New Roman"/>
      <w:szCs w:val="20"/>
    </w:rPr>
  </w:style>
  <w:style w:type="character" w:customStyle="1" w:styleId="69">
    <w:name w:val="headline-content2"/>
    <w:basedOn w:val="41"/>
    <w:qFormat/>
    <w:uiPriority w:val="0"/>
    <w:rPr>
      <w:rFonts w:eastAsia="宋体" w:cs="Times New Roman"/>
      <w:kern w:val="2"/>
      <w:sz w:val="24"/>
      <w:szCs w:val="24"/>
      <w:lang w:val="en-US" w:eastAsia="zh-CN" w:bidi="ar-SA"/>
    </w:rPr>
  </w:style>
  <w:style w:type="character" w:customStyle="1" w:styleId="70">
    <w:name w:val="正文文本 Char"/>
    <w:basedOn w:val="41"/>
    <w:link w:val="19"/>
    <w:qFormat/>
    <w:uiPriority w:val="99"/>
    <w:rPr>
      <w:rFonts w:ascii="Times New Roman" w:hAnsi="Times New Roman" w:eastAsia="宋体" w:cs="Times New Roman"/>
      <w:szCs w:val="21"/>
    </w:rPr>
  </w:style>
  <w:style w:type="paragraph" w:customStyle="1" w:styleId="71">
    <w:name w:val="write2"/>
    <w:basedOn w:val="1"/>
    <w:qFormat/>
    <w:uiPriority w:val="99"/>
    <w:pPr>
      <w:widowControl/>
      <w:tabs>
        <w:tab w:val="left" w:pos="709"/>
      </w:tabs>
      <w:overflowPunct w:val="0"/>
      <w:autoSpaceDE w:val="0"/>
      <w:autoSpaceDN w:val="0"/>
      <w:adjustRightInd w:val="0"/>
      <w:textAlignment w:val="baseline"/>
    </w:pPr>
    <w:rPr>
      <w:rFonts w:ascii="Helvetica-Narrow" w:hAnsi="Helvetica-Narrow" w:eastAsia="宋体" w:cs="Times New Roman"/>
      <w:kern w:val="0"/>
      <w:szCs w:val="24"/>
      <w:lang w:val="en-AU"/>
    </w:rPr>
  </w:style>
  <w:style w:type="character" w:customStyle="1" w:styleId="72">
    <w:name w:val="日期 Char"/>
    <w:basedOn w:val="41"/>
    <w:link w:val="25"/>
    <w:qFormat/>
    <w:uiPriority w:val="99"/>
    <w:rPr>
      <w:rFonts w:ascii="Times New Roman" w:hAnsi="Times New Roman" w:eastAsia="宋体" w:cs="Times New Roman"/>
      <w:szCs w:val="21"/>
    </w:rPr>
  </w:style>
  <w:style w:type="character" w:customStyle="1" w:styleId="73">
    <w:name w:val="注释标题 Char"/>
    <w:basedOn w:val="41"/>
    <w:link w:val="10"/>
    <w:qFormat/>
    <w:uiPriority w:val="99"/>
    <w:rPr>
      <w:rFonts w:ascii="Times New Roman" w:hAnsi="Times New Roman" w:eastAsia="宋体" w:cs="Times New Roman"/>
      <w:szCs w:val="21"/>
    </w:rPr>
  </w:style>
  <w:style w:type="paragraph" w:customStyle="1" w:styleId="74">
    <w:name w:val="标题5"/>
    <w:basedOn w:val="1"/>
    <w:qFormat/>
    <w:uiPriority w:val="0"/>
    <w:pPr>
      <w:keepNext/>
      <w:keepLines/>
      <w:spacing w:before="60" w:after="60"/>
      <w:ind w:hanging="420" w:hangingChars="200"/>
      <w:outlineLvl w:val="4"/>
    </w:pPr>
    <w:rPr>
      <w:rFonts w:ascii="宋体" w:hAnsi="宋体" w:eastAsia="宋体" w:cs="Times New Roman"/>
      <w:b/>
      <w:bCs/>
      <w:szCs w:val="21"/>
    </w:rPr>
  </w:style>
  <w:style w:type="paragraph" w:customStyle="1" w:styleId="75">
    <w:name w:val="修订1"/>
    <w:hidden/>
    <w:semiHidden/>
    <w:qFormat/>
    <w:uiPriority w:val="99"/>
    <w:rPr>
      <w:rFonts w:ascii="Calibri" w:hAnsi="Calibri" w:eastAsia="宋体" w:cs="Times New Roman"/>
      <w:kern w:val="2"/>
      <w:sz w:val="21"/>
      <w:szCs w:val="22"/>
      <w:lang w:val="en-US" w:eastAsia="zh-CN" w:bidi="ar-SA"/>
    </w:rPr>
  </w:style>
  <w:style w:type="character" w:customStyle="1" w:styleId="76">
    <w:name w:val="正文的样式 Char"/>
    <w:basedOn w:val="41"/>
    <w:link w:val="77"/>
    <w:qFormat/>
    <w:uiPriority w:val="0"/>
    <w:rPr>
      <w:szCs w:val="24"/>
    </w:rPr>
  </w:style>
  <w:style w:type="paragraph" w:customStyle="1" w:styleId="77">
    <w:name w:val="正文的样式"/>
    <w:basedOn w:val="1"/>
    <w:link w:val="76"/>
    <w:qFormat/>
    <w:uiPriority w:val="0"/>
    <w:pPr>
      <w:spacing w:before="100" w:after="100"/>
    </w:pPr>
    <w:rPr>
      <w:szCs w:val="24"/>
    </w:rPr>
  </w:style>
  <w:style w:type="character" w:customStyle="1" w:styleId="78">
    <w:name w:val="文档结构图 Char"/>
    <w:basedOn w:val="41"/>
    <w:link w:val="14"/>
    <w:semiHidden/>
    <w:qFormat/>
    <w:uiPriority w:val="99"/>
    <w:rPr>
      <w:rFonts w:ascii="宋体" w:hAnsi="Calibri" w:eastAsia="宋体" w:cs="Times New Roman"/>
      <w:sz w:val="18"/>
      <w:szCs w:val="18"/>
    </w:rPr>
  </w:style>
  <w:style w:type="character" w:styleId="79">
    <w:name w:val="Placeholder Text"/>
    <w:basedOn w:val="41"/>
    <w:semiHidden/>
    <w:qFormat/>
    <w:uiPriority w:val="99"/>
    <w:rPr>
      <w:color w:val="auto"/>
    </w:rPr>
  </w:style>
  <w:style w:type="character" w:customStyle="1" w:styleId="80">
    <w:name w:val="标题 Char"/>
    <w:basedOn w:val="41"/>
    <w:link w:val="37"/>
    <w:qFormat/>
    <w:uiPriority w:val="0"/>
    <w:rPr>
      <w:rFonts w:eastAsia="宋体" w:asciiTheme="majorHAnsi" w:hAnsiTheme="majorHAnsi" w:cstheme="majorBidi"/>
      <w:b/>
      <w:bCs/>
      <w:sz w:val="32"/>
      <w:szCs w:val="32"/>
    </w:rPr>
  </w:style>
  <w:style w:type="paragraph" w:styleId="81">
    <w:name w:val="No Spacing"/>
    <w:qFormat/>
    <w:uiPriority w:val="1"/>
    <w:pPr>
      <w:widowControl w:val="0"/>
      <w:jc w:val="both"/>
    </w:pPr>
    <w:rPr>
      <w:rFonts w:ascii="Calibri" w:hAnsi="Calibri" w:eastAsia="宋体" w:cs="Times New Roman"/>
      <w:kern w:val="2"/>
      <w:sz w:val="21"/>
      <w:szCs w:val="22"/>
      <w:lang w:val="en-US" w:eastAsia="zh-CN" w:bidi="ar-SA"/>
    </w:rPr>
  </w:style>
  <w:style w:type="character" w:customStyle="1" w:styleId="82">
    <w:name w:val="尾注文本 Char"/>
    <w:basedOn w:val="41"/>
    <w:link w:val="26"/>
    <w:semiHidden/>
    <w:qFormat/>
    <w:uiPriority w:val="99"/>
    <w:rPr>
      <w:rFonts w:ascii="宋体" w:hAnsi="宋体" w:eastAsia="宋体" w:cs="宋体"/>
      <w:kern w:val="0"/>
      <w:szCs w:val="24"/>
    </w:rPr>
  </w:style>
  <w:style w:type="character" w:customStyle="1" w:styleId="83">
    <w:name w:val="批注主题 Char1"/>
    <w:basedOn w:val="54"/>
    <w:semiHidden/>
    <w:qFormat/>
    <w:uiPriority w:val="99"/>
    <w:rPr>
      <w:rFonts w:ascii="Times New Roman" w:hAnsi="Times New Roman" w:eastAsia="宋体" w:cs="Times New Roman"/>
      <w:b/>
      <w:bCs/>
      <w:szCs w:val="21"/>
    </w:rPr>
  </w:style>
  <w:style w:type="character" w:customStyle="1" w:styleId="84">
    <w:name w:val="span_"/>
    <w:basedOn w:val="41"/>
    <w:qFormat/>
    <w:uiPriority w:val="0"/>
  </w:style>
  <w:style w:type="paragraph" w:customStyle="1" w:styleId="85">
    <w:name w:val="标题  3"/>
    <w:basedOn w:val="1"/>
    <w:next w:val="1"/>
    <w:link w:val="86"/>
    <w:qFormat/>
    <w:uiPriority w:val="0"/>
    <w:pPr>
      <w:keepNext/>
      <w:keepLines/>
      <w:spacing w:before="100" w:beforeAutospacing="1" w:after="100" w:afterAutospacing="1" w:line="415" w:lineRule="auto"/>
    </w:pPr>
    <w:rPr>
      <w:rFonts w:ascii="Times New Roman" w:hAnsi="Times New Roman" w:eastAsia="宋体" w:cs="Times New Roman"/>
      <w:b/>
      <w:szCs w:val="24"/>
    </w:rPr>
  </w:style>
  <w:style w:type="character" w:customStyle="1" w:styleId="86">
    <w:name w:val="标题  3 Char"/>
    <w:basedOn w:val="41"/>
    <w:link w:val="85"/>
    <w:qFormat/>
    <w:uiPriority w:val="0"/>
    <w:rPr>
      <w:rFonts w:ascii="Times New Roman" w:hAnsi="Times New Roman" w:eastAsia="宋体" w:cs="Times New Roman"/>
      <w:b/>
      <w:szCs w:val="24"/>
    </w:rPr>
  </w:style>
  <w:style w:type="paragraph" w:customStyle="1" w:styleId="87">
    <w:name w:val="列出段落1"/>
    <w:basedOn w:val="1"/>
    <w:qFormat/>
    <w:uiPriority w:val="0"/>
    <w:pPr>
      <w:ind w:firstLine="420" w:firstLineChars="200"/>
    </w:pPr>
    <w:rPr>
      <w:rFonts w:ascii="Calibri" w:hAnsi="Calibri" w:eastAsia="宋体" w:cs="Calibri"/>
      <w:szCs w:val="21"/>
    </w:rPr>
  </w:style>
  <w:style w:type="paragraph" w:customStyle="1" w:styleId="88">
    <w:name w:val="报告正文格式1"/>
    <w:basedOn w:val="1"/>
    <w:qFormat/>
    <w:uiPriority w:val="0"/>
    <w:pPr>
      <w:spacing w:line="360" w:lineRule="auto"/>
      <w:ind w:firstLine="200" w:firstLineChars="200"/>
      <w:jc w:val="left"/>
    </w:pPr>
    <w:rPr>
      <w:rFonts w:ascii="Times New Roman" w:hAnsi="Times New Roman" w:eastAsia="仿宋" w:cs="Times New Roman"/>
      <w:bCs/>
      <w:sz w:val="24"/>
      <w:szCs w:val="24"/>
    </w:rPr>
  </w:style>
  <w:style w:type="character" w:customStyle="1" w:styleId="89">
    <w:name w:val="标题 3 Char1"/>
    <w:basedOn w:val="41"/>
    <w:link w:val="4"/>
    <w:qFormat/>
    <w:uiPriority w:val="9"/>
    <w:rPr>
      <w:b/>
      <w:bCs/>
      <w:kern w:val="2"/>
      <w:sz w:val="32"/>
      <w:szCs w:val="32"/>
    </w:rPr>
  </w:style>
  <w:style w:type="paragraph" w:customStyle="1" w:styleId="90">
    <w:name w:val="_Style 2"/>
    <w:basedOn w:val="1"/>
    <w:qFormat/>
    <w:uiPriority w:val="34"/>
    <w:pPr>
      <w:ind w:firstLine="420" w:firstLineChars="200"/>
    </w:pPr>
    <w:rPr>
      <w:rFonts w:ascii="Calibri" w:hAnsi="Calibri" w:eastAsia="宋体"/>
    </w:rPr>
  </w:style>
  <w:style w:type="paragraph" w:customStyle="1" w:styleId="91">
    <w:name w:val="CEE正文"/>
    <w:basedOn w:val="1"/>
    <w:qFormat/>
    <w:uiPriority w:val="0"/>
    <w:pPr>
      <w:spacing w:line="312" w:lineRule="auto"/>
      <w:ind w:firstLine="200" w:firstLineChars="200"/>
    </w:pPr>
    <w:rPr>
      <w:kern w:val="0"/>
      <w:sz w:val="24"/>
      <w:szCs w:val="24"/>
    </w:rPr>
  </w:style>
  <w:style w:type="paragraph" w:customStyle="1" w:styleId="92">
    <w:name w:val="opsom1"/>
    <w:basedOn w:val="13"/>
    <w:qFormat/>
    <w:uiPriority w:val="0"/>
    <w:pPr>
      <w:widowControl/>
      <w:numPr>
        <w:numId w:val="0"/>
      </w:numPr>
      <w:spacing w:line="360" w:lineRule="auto"/>
      <w:ind w:left="284" w:hanging="284"/>
      <w:jc w:val="left"/>
    </w:pPr>
    <w:rPr>
      <w:rFonts w:ascii="Arial" w:hAnsi="Arial" w:eastAsia="Times New Roman"/>
      <w:kern w:val="0"/>
      <w:sz w:val="22"/>
      <w:lang w:val="nl" w:eastAsia="en-US"/>
    </w:rPr>
  </w:style>
  <w:style w:type="paragraph" w:customStyle="1" w:styleId="93">
    <w:name w:val="正文01"/>
    <w:basedOn w:val="1"/>
    <w:qFormat/>
    <w:uiPriority w:val="0"/>
    <w:pPr>
      <w:spacing w:before="60" w:line="480" w:lineRule="exact"/>
      <w:ind w:firstLine="539"/>
    </w:pPr>
    <w:rPr>
      <w:sz w:val="27"/>
    </w:rPr>
  </w:style>
  <w:style w:type="paragraph" w:customStyle="1" w:styleId="94">
    <w:name w:val="表格"/>
    <w:qFormat/>
    <w:uiPriority w:val="0"/>
    <w:pPr>
      <w:spacing w:line="380" w:lineRule="exact"/>
      <w:jc w:val="center"/>
    </w:pPr>
    <w:rPr>
      <w:rFonts w:ascii="宋体" w:hAnsi="宋体" w:eastAsia="宋体" w:cs="Times New Roman"/>
      <w:snapToGrid w:val="0"/>
      <w:sz w:val="21"/>
      <w:lang w:val="en-US" w:eastAsia="zh-CN" w:bidi="ar-SA"/>
    </w:rPr>
  </w:style>
  <w:style w:type="character" w:customStyle="1" w:styleId="95">
    <w:name w:val="正文缩进 Char"/>
    <w:link w:val="11"/>
    <w:qFormat/>
    <w:uiPriority w:val="0"/>
    <w:rPr>
      <w:rFonts w:ascii="Times New Roman" w:hAnsi="Times New Roman"/>
      <w:kern w:val="2"/>
      <w:sz w:val="21"/>
      <w:szCs w:val="21"/>
    </w:rPr>
  </w:style>
  <w:style w:type="paragraph" w:customStyle="1" w:styleId="96">
    <w:name w:val="中文正文"/>
    <w:basedOn w:val="1"/>
    <w:qFormat/>
    <w:uiPriority w:val="99"/>
    <w:pPr>
      <w:autoSpaceDE w:val="0"/>
      <w:autoSpaceDN w:val="0"/>
      <w:adjustRightInd w:val="0"/>
      <w:spacing w:line="288" w:lineRule="auto"/>
      <w:textAlignment w:val="center"/>
    </w:pPr>
    <w:rPr>
      <w:rFonts w:ascii="Noto Sans S Chinese Regular" w:eastAsia="Noto Sans S Chinese Regular" w:cs="Noto Sans S Chinese Regular"/>
      <w:color w:val="000000"/>
      <w:kern w:val="0"/>
      <w:sz w:val="14"/>
      <w:szCs w:val="14"/>
      <w:lang w:val="zh-CN"/>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4.xml"/><Relationship Id="rId16" Type="http://schemas.openxmlformats.org/officeDocument/2006/relationships/customXml" Target="../customXml/item3.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9.jpeg"/><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relations xmlns="http://www.yonyou.com/relation"/>
</file>

<file path=customXml/item3.xml><?xml version="1.0" encoding="utf-8"?>
<dataSourceCollection xmlns="http://www.yonyou.com/datasource"/>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5D7E463-A10F-494B-AAC3-043C8AA8F383}">
  <ds:schemaRefs/>
</ds:datastoreItem>
</file>

<file path=customXml/itemProps3.xml><?xml version="1.0" encoding="utf-8"?>
<ds:datastoreItem xmlns:ds="http://schemas.openxmlformats.org/officeDocument/2006/customXml" ds:itemID="{6BC0C85B-024C-49A1-89CA-1A1A3B0F4157}">
  <ds:schemaRefs/>
</ds:datastoreItem>
</file>

<file path=customXml/itemProps4.xml><?xml version="1.0" encoding="utf-8"?>
<ds:datastoreItem xmlns:ds="http://schemas.openxmlformats.org/officeDocument/2006/customXml" ds:itemID="{B3AA9A98-5EF9-4D62-9498-67FE35B6BA80}">
  <ds:schemaRefs/>
</ds:datastoreItem>
</file>

<file path=docProps/app.xml><?xml version="1.0" encoding="utf-8"?>
<Properties xmlns="http://schemas.openxmlformats.org/officeDocument/2006/extended-properties" xmlns:vt="http://schemas.openxmlformats.org/officeDocument/2006/docPropsVTypes">
  <Template>Normal</Template>
  <Pages>10</Pages>
  <Words>842</Words>
  <Characters>4805</Characters>
  <Lines>40</Lines>
  <Paragraphs>11</Paragraphs>
  <TotalTime>5</TotalTime>
  <ScaleCrop>false</ScaleCrop>
  <LinksUpToDate>false</LinksUpToDate>
  <CharactersWithSpaces>5636</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2016-05-21T03:42:00Z</dcterms:created>
  <dc:creator>Meng Tang</dc:creator>
  <cp:lastModifiedBy>test</cp:lastModifiedBy>
  <dcterms:modified xsi:type="dcterms:W3CDTF">2022-11-01T03:12:33Z</dcterms:modified>
  <cp:revision>90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ies>
</file>